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footnotes.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100" w:after="100"/>
        <w:jc w:val="center"/>
        <w:rPr>
          <w:b/>
          <w:sz w:val="28"/>
          <w:szCs w:val="28"/>
          <w:lang w:val="en-GB"/>
        </w:rPr>
      </w:pPr>
      <w:r>
        <mc:AlternateContent>
          <mc:Choice Requires="wps">
            <w:drawing>
              <wp:anchor behindDoc="0" distT="0" distB="0" distL="114300" distR="114300" simplePos="0" locked="0" layoutInCell="1" allowOverlap="1" relativeHeight="4">
                <wp:simplePos x="0" y="0"/>
                <wp:positionH relativeFrom="column">
                  <wp:posOffset>-57150</wp:posOffset>
                </wp:positionH>
                <wp:positionV relativeFrom="paragraph">
                  <wp:posOffset>27940</wp:posOffset>
                </wp:positionV>
                <wp:extent cx="5943600" cy="635"/>
                <wp:effectExtent l="11430" t="11430" r="11430" b="11430"/>
                <wp:wrapNone/>
                <wp:docPr id="1" name=""/>
                <a:graphic xmlns:a="http://schemas.openxmlformats.org/drawingml/2006/main">
                  <a:graphicData uri="http://schemas.microsoft.com/office/word/2010/wordprocessingShape">
                    <wps:wsp>
                      <wps:cNvSpPr/>
                      <wps:spPr>
                        <a:xfrm>
                          <a:off x="0" y="0"/>
                          <a:ext cx="5943600" cy="720"/>
                        </a:xfrm>
                        <a:prstGeom prst="line">
                          <a:avLst/>
                        </a:prstGeom>
                        <a:ln w="22320">
                          <a:solidFill>
                            <a:srgbClr val="d4d4d4"/>
                          </a:solidFill>
                          <a:round/>
                        </a:ln>
                      </wps:spPr>
                      <wps:style>
                        <a:lnRef idx="0"/>
                        <a:fillRef idx="0"/>
                        <a:effectRef idx="0"/>
                        <a:fontRef idx="minor"/>
                      </wps:style>
                      <wps:bodyPr/>
                    </wps:wsp>
                  </a:graphicData>
                </a:graphic>
              </wp:anchor>
            </w:drawing>
          </mc:Choice>
          <mc:Fallback>
            <w:pict>
              <v:line id="shape_0" from="-4.5pt,2.2pt" to="463.45pt,2.2pt" stroked="t" o:allowincell="f" style="position:absolute">
                <v:stroke color="#d4d4d4" weight="22320" joinstyle="round" endcap="flat"/>
                <v:fill o:detectmouseclick="t" on="false"/>
                <w10:wrap type="none"/>
              </v:line>
            </w:pict>
          </mc:Fallback>
        </mc:AlternateContent>
      </w:r>
      <w:r>
        <w:rPr>
          <w:b/>
          <w:sz w:val="28"/>
          <w:szCs w:val="28"/>
          <w:lang w:val="en-GB"/>
        </w:rPr>
        <w:t>WORKS CONTRACT NOTICE</w:t>
      </w:r>
    </w:p>
    <w:p>
      <w:pPr>
        <w:pStyle w:val="Normal"/>
        <w:jc w:val="center"/>
        <w:rPr>
          <w:rStyle w:val="Strong"/>
          <w:sz w:val="22"/>
          <w:szCs w:val="22"/>
          <w:lang w:val="en-GB"/>
        </w:rPr>
      </w:pPr>
      <w:r>
        <w:rPr>
          <w:rStyle w:val="Strong"/>
          <w:sz w:val="22"/>
          <w:szCs w:val="22"/>
          <w:lang w:val="en-GB"/>
        </w:rPr>
        <w:t>“</w:t>
      </w:r>
      <w:r>
        <w:rPr>
          <w:rStyle w:val="Strong"/>
          <w:sz w:val="22"/>
          <w:szCs w:val="22"/>
          <w:lang w:val="en-GB"/>
        </w:rPr>
        <w:t xml:space="preserve">Construction of </w:t>
      </w:r>
      <w:r>
        <w:rPr>
          <w:rStyle w:val="Strong"/>
        </w:rPr>
        <w:t>Adrenaline Park With Associated Facilities (Temporary Structures)”</w:t>
      </w:r>
    </w:p>
    <w:p>
      <w:pPr>
        <w:pStyle w:val="Normal"/>
        <w:jc w:val="center"/>
        <w:rPr>
          <w:rStyle w:val="Strong"/>
          <w:b w:val="false"/>
          <w:sz w:val="22"/>
          <w:szCs w:val="22"/>
          <w:lang w:val="en-GB"/>
        </w:rPr>
      </w:pPr>
      <w:r>
        <w:rPr>
          <w:b/>
          <w:sz w:val="22"/>
          <w:szCs w:val="22"/>
          <w:lang w:val="en-GB"/>
        </w:rPr>
        <w:t>Kalin Kamen, Kriva Palanka, Republic of North Macedonia</w:t>
      </w:r>
    </w:p>
    <w:p>
      <w:pPr>
        <w:pStyle w:val="PRAGHeading2"/>
        <w:numPr>
          <w:ilvl w:val="0"/>
          <w:numId w:val="2"/>
        </w:numPr>
        <w:rPr>
          <w:rStyle w:val="Strong"/>
          <w:sz w:val="22"/>
          <w:szCs w:val="22"/>
          <w:lang w:val="en-GB"/>
        </w:rPr>
      </w:pPr>
      <w:r>
        <w:rPr>
          <w:rStyle w:val="Strong"/>
          <w:sz w:val="22"/>
          <w:szCs w:val="22"/>
          <w:lang w:val="en-GB"/>
        </w:rPr>
        <w:t>Reference</w:t>
      </w:r>
    </w:p>
    <w:p>
      <w:pPr>
        <w:pStyle w:val="PRAGHeading2"/>
        <w:numPr>
          <w:ilvl w:val="0"/>
          <w:numId w:val="0"/>
        </w:numPr>
        <w:ind w:hanging="0" w:left="709"/>
        <w:rPr>
          <w:sz w:val="22"/>
          <w:szCs w:val="22"/>
          <w:lang w:val="en-GB"/>
        </w:rPr>
      </w:pPr>
      <w:r>
        <w:rPr>
          <w:sz w:val="22"/>
          <w:szCs w:val="22"/>
          <w:lang w:val="en-GB"/>
        </w:rPr>
        <w:t>Adventure</w:t>
      </w:r>
      <w:r>
        <w:rPr>
          <w:rStyle w:val="Emphasis"/>
          <w:i w:val="false"/>
          <w:sz w:val="22"/>
          <w:szCs w:val="22"/>
        </w:rPr>
        <w:t xml:space="preserve"> Park 01-02</w:t>
      </w:r>
    </w:p>
    <w:p>
      <w:pPr>
        <w:pStyle w:val="PRAGHeading2"/>
        <w:numPr>
          <w:ilvl w:val="0"/>
          <w:numId w:val="2"/>
        </w:numPr>
        <w:rPr>
          <w:rStyle w:val="Strong"/>
          <w:sz w:val="22"/>
          <w:szCs w:val="22"/>
          <w:lang w:val="en-GB"/>
        </w:rPr>
      </w:pPr>
      <w:r>
        <w:rPr>
          <w:rStyle w:val="Strong"/>
          <w:sz w:val="22"/>
          <w:szCs w:val="22"/>
          <w:lang w:val="en-GB"/>
        </w:rPr>
        <w:t>Procedure</w:t>
      </w:r>
    </w:p>
    <w:p>
      <w:pPr>
        <w:pStyle w:val="PRAGHeading2"/>
        <w:numPr>
          <w:ilvl w:val="0"/>
          <w:numId w:val="0"/>
        </w:numPr>
        <w:ind w:hanging="0" w:left="709"/>
        <w:rPr>
          <w:sz w:val="22"/>
          <w:szCs w:val="22"/>
          <w:lang w:val="en-GB"/>
        </w:rPr>
      </w:pPr>
      <w:r>
        <w:rPr>
          <w:sz w:val="22"/>
          <w:szCs w:val="22"/>
          <w:lang w:val="en-GB"/>
        </w:rPr>
        <w:t xml:space="preserve"> </w:t>
      </w:r>
      <w:r>
        <w:rPr>
          <w:sz w:val="22"/>
          <w:szCs w:val="22"/>
          <w:lang w:val="en-GB"/>
        </w:rPr>
        <w:t>Simplified</w:t>
      </w:r>
    </w:p>
    <w:p>
      <w:pPr>
        <w:pStyle w:val="PRAGHeading2"/>
        <w:numPr>
          <w:ilvl w:val="0"/>
          <w:numId w:val="2"/>
        </w:numPr>
        <w:rPr>
          <w:rStyle w:val="Strong"/>
          <w:sz w:val="22"/>
          <w:szCs w:val="22"/>
          <w:lang w:val="en-GB"/>
        </w:rPr>
      </w:pPr>
      <w:r>
        <w:rPr>
          <w:rStyle w:val="Strong"/>
          <w:sz w:val="22"/>
          <w:szCs w:val="22"/>
          <w:lang w:val="en-GB"/>
        </w:rPr>
        <w:t>Programme title</w:t>
      </w:r>
    </w:p>
    <w:p>
      <w:pPr>
        <w:pStyle w:val="PRAGHeading2"/>
        <w:numPr>
          <w:ilvl w:val="0"/>
          <w:numId w:val="0"/>
        </w:numPr>
        <w:ind w:firstLine="436" w:left="284" w:right="357"/>
        <w:rPr>
          <w:sz w:val="22"/>
          <w:szCs w:val="22"/>
        </w:rPr>
      </w:pPr>
      <w:r>
        <w:rPr>
          <w:sz w:val="22"/>
          <w:szCs w:val="22"/>
          <w:lang w:val="en-GB"/>
        </w:rPr>
        <w:t>Interreg IPA VI-A Bulgaria-North Macedonia</w:t>
      </w:r>
    </w:p>
    <w:p>
      <w:pPr>
        <w:pStyle w:val="PRAGHeading2"/>
        <w:numPr>
          <w:ilvl w:val="0"/>
          <w:numId w:val="2"/>
        </w:numPr>
        <w:jc w:val="both"/>
        <w:rPr>
          <w:rStyle w:val="Strong"/>
          <w:sz w:val="22"/>
          <w:szCs w:val="22"/>
          <w:lang w:val="en-GB"/>
        </w:rPr>
      </w:pPr>
      <w:r>
        <w:rPr>
          <w:rStyle w:val="Strong"/>
          <w:sz w:val="22"/>
          <w:szCs w:val="22"/>
          <w:lang w:val="en-GB"/>
        </w:rPr>
        <w:t>Financing</w:t>
      </w:r>
    </w:p>
    <w:p>
      <w:pPr>
        <w:pStyle w:val="PRAGHeading2"/>
        <w:numPr>
          <w:ilvl w:val="0"/>
          <w:numId w:val="0"/>
        </w:numPr>
        <w:ind w:firstLine="436" w:left="284" w:right="357"/>
        <w:rPr/>
      </w:pPr>
      <w:r>
        <w:rPr/>
        <w:t>Grant contract ref. no. RD02-29-</w:t>
      </w:r>
      <w:r>
        <w:rPr>
          <w:lang w:val="en-GB"/>
        </w:rPr>
        <w:t>254/07.03.2025</w:t>
      </w:r>
    </w:p>
    <w:p>
      <w:pPr>
        <w:pStyle w:val="PRAGHeading2"/>
        <w:numPr>
          <w:ilvl w:val="0"/>
          <w:numId w:val="0"/>
        </w:numPr>
        <w:ind w:firstLine="436" w:left="284" w:right="357"/>
        <w:rPr>
          <w:sz w:val="22"/>
          <w:szCs w:val="22"/>
          <w:lang w:val="en-GB"/>
        </w:rPr>
      </w:pPr>
      <w:r>
        <w:rPr/>
        <w:t xml:space="preserve">BL 6 : Works </w:t>
      </w:r>
    </w:p>
    <w:p>
      <w:pPr>
        <w:pStyle w:val="PRAGHeading2"/>
        <w:numPr>
          <w:ilvl w:val="0"/>
          <w:numId w:val="2"/>
        </w:numPr>
        <w:jc w:val="both"/>
        <w:rPr>
          <w:sz w:val="22"/>
          <w:szCs w:val="22"/>
          <w:lang w:val="en-GB"/>
        </w:rPr>
      </w:pPr>
      <w:r>
        <w:rPr>
          <w:rStyle w:val="Strong"/>
          <w:sz w:val="22"/>
          <w:szCs w:val="22"/>
          <w:lang w:val="en-GB"/>
        </w:rPr>
        <w:t>Contracting authority</w:t>
      </w:r>
      <w:r>
        <w:rPr>
          <w:sz w:val="22"/>
          <w:szCs w:val="22"/>
          <w:lang w:val="en-GB"/>
        </w:rPr>
        <w:t xml:space="preserve"> </w:t>
      </w:r>
    </w:p>
    <w:p>
      <w:pPr>
        <w:pStyle w:val="Normal"/>
        <w:snapToGrid w:val="false"/>
        <w:ind w:left="709"/>
        <w:jc w:val="both"/>
        <w:rPr>
          <w:sz w:val="22"/>
          <w:szCs w:val="22"/>
          <w:lang w:val="en-GB"/>
        </w:rPr>
      </w:pPr>
      <w:r>
        <w:rPr>
          <w:sz w:val="22"/>
          <w:szCs w:val="22"/>
          <w:lang w:val="en-GB"/>
        </w:rPr>
        <w:t>Municipality of Kriva Palanka, North Macedonia</w:t>
      </w:r>
    </w:p>
    <w:p>
      <w:pPr>
        <w:pStyle w:val="Normal"/>
        <w:snapToGrid w:val="false"/>
        <w:ind w:left="709"/>
        <w:jc w:val="both"/>
        <w:rPr>
          <w:sz w:val="22"/>
          <w:szCs w:val="22"/>
          <w:lang w:val="en-GB"/>
        </w:rPr>
      </w:pPr>
      <w:r>
        <w:rPr>
          <w:sz w:val="22"/>
          <w:szCs w:val="22"/>
          <w:lang w:val="en-GB"/>
        </w:rPr>
        <w:t xml:space="preserve"> </w:t>
      </w:r>
    </w:p>
    <w:p>
      <w:pPr>
        <w:pStyle w:val="Normal"/>
        <w:ind w:left="360"/>
        <w:jc w:val="center"/>
        <w:rPr>
          <w:rStyle w:val="Strong"/>
          <w:sz w:val="22"/>
          <w:szCs w:val="22"/>
          <w:lang w:val="en-GB"/>
        </w:rPr>
      </w:pPr>
      <w:r>
        <mc:AlternateContent>
          <mc:Choice Requires="wps">
            <w:drawing>
              <wp:anchor behindDoc="0" distT="0" distB="0" distL="114300" distR="114300" simplePos="0" locked="0" layoutInCell="1" allowOverlap="1" relativeHeight="6">
                <wp:simplePos x="0" y="0"/>
                <wp:positionH relativeFrom="column">
                  <wp:posOffset>28575</wp:posOffset>
                </wp:positionH>
                <wp:positionV relativeFrom="paragraph">
                  <wp:posOffset>-5715</wp:posOffset>
                </wp:positionV>
                <wp:extent cx="5943600" cy="635"/>
                <wp:effectExtent l="11430" t="11430" r="11430" b="11430"/>
                <wp:wrapNone/>
                <wp:docPr id="2" name=""/>
                <a:graphic xmlns:a="http://schemas.openxmlformats.org/drawingml/2006/main">
                  <a:graphicData uri="http://schemas.microsoft.com/office/word/2010/wordprocessingShape">
                    <wps:wsp>
                      <wps:cNvSpPr/>
                      <wps:spPr>
                        <a:xfrm>
                          <a:off x="0" y="0"/>
                          <a:ext cx="5943600" cy="720"/>
                        </a:xfrm>
                        <a:prstGeom prst="line">
                          <a:avLst/>
                        </a:prstGeom>
                        <a:ln w="22320">
                          <a:solidFill>
                            <a:srgbClr val="d4d4d4"/>
                          </a:solidFill>
                          <a:round/>
                        </a:ln>
                      </wps:spPr>
                      <wps:style>
                        <a:lnRef idx="0"/>
                        <a:fillRef idx="0"/>
                        <a:effectRef idx="0"/>
                        <a:fontRef idx="minor"/>
                      </wps:style>
                      <wps:bodyPr/>
                    </wps:wsp>
                  </a:graphicData>
                </a:graphic>
              </wp:anchor>
            </w:drawing>
          </mc:Choice>
          <mc:Fallback>
            <w:pict>
              <v:line id="shape_0" from="2.25pt,-0.45pt" to="470.2pt,-0.45pt" stroked="t" o:allowincell="f" style="position:absolute">
                <v:stroke color="#d4d4d4" weight="22320" joinstyle="round" endcap="flat"/>
                <v:fill o:detectmouseclick="t" on="false"/>
                <w10:wrap type="none"/>
              </v:line>
            </w:pict>
          </mc:Fallback>
        </mc:AlternateContent>
      </w:r>
      <w:r>
        <w:rPr>
          <w:rStyle w:val="Strong"/>
          <w:sz w:val="22"/>
          <w:szCs w:val="22"/>
          <w:lang w:val="en-GB"/>
        </w:rPr>
        <w:t>CONTRACT SPECIFICATIONS</w:t>
      </w:r>
    </w:p>
    <w:p>
      <w:pPr>
        <w:pStyle w:val="PRAGHeading2"/>
        <w:numPr>
          <w:ilvl w:val="0"/>
          <w:numId w:val="2"/>
        </w:numPr>
        <w:rPr>
          <w:rStyle w:val="Strong"/>
          <w:sz w:val="22"/>
          <w:szCs w:val="22"/>
          <w:lang w:val="en-GB"/>
        </w:rPr>
      </w:pPr>
      <w:r>
        <w:rPr>
          <w:rStyle w:val="Strong"/>
          <w:sz w:val="22"/>
          <w:szCs w:val="22"/>
          <w:lang w:val="en-GB"/>
        </w:rPr>
        <w:t>Nature of contract</w:t>
      </w:r>
    </w:p>
    <w:p>
      <w:pPr>
        <w:pStyle w:val="PRAGHeading2"/>
        <w:numPr>
          <w:ilvl w:val="0"/>
          <w:numId w:val="0"/>
        </w:numPr>
        <w:ind w:hanging="0" w:left="720"/>
        <w:rPr>
          <w:rStyle w:val="Strong"/>
          <w:b w:val="false"/>
          <w:sz w:val="22"/>
          <w:szCs w:val="22"/>
          <w:lang w:val="en-GB"/>
        </w:rPr>
      </w:pPr>
      <w:r>
        <w:rPr>
          <w:rStyle w:val="Strong"/>
          <w:b w:val="false"/>
          <w:sz w:val="22"/>
          <w:szCs w:val="22"/>
          <w:lang w:val="en-GB"/>
        </w:rPr>
        <w:t>Lump-sum</w:t>
      </w:r>
    </w:p>
    <w:p>
      <w:pPr>
        <w:pStyle w:val="PRAGHeading2"/>
        <w:numPr>
          <w:ilvl w:val="0"/>
          <w:numId w:val="2"/>
        </w:numPr>
        <w:rPr>
          <w:rStyle w:val="Strong"/>
          <w:sz w:val="22"/>
          <w:szCs w:val="22"/>
          <w:lang w:val="en-GB"/>
        </w:rPr>
      </w:pPr>
      <w:r>
        <w:rPr>
          <w:rStyle w:val="Strong"/>
          <w:sz w:val="22"/>
          <w:szCs w:val="22"/>
          <w:lang w:val="en-GB"/>
        </w:rPr>
        <w:t>Description of the contract</w:t>
      </w:r>
    </w:p>
    <w:p>
      <w:pPr>
        <w:pStyle w:val="Normal"/>
        <w:snapToGrid w:val="false"/>
        <w:ind w:left="709"/>
        <w:jc w:val="both"/>
        <w:rPr>
          <w:rStyle w:val="Emphasis"/>
          <w:i w:val="false"/>
          <w:i w:val="false"/>
          <w:sz w:val="22"/>
          <w:szCs w:val="22"/>
          <w:lang w:val="en-GB"/>
        </w:rPr>
      </w:pPr>
      <w:r>
        <w:rPr>
          <w:rStyle w:val="Emphasis"/>
          <w:i w:val="false"/>
          <w:sz w:val="22"/>
          <w:szCs w:val="22"/>
          <w:lang w:val="en-GB"/>
        </w:rPr>
        <w:t>The contract is to provide tender documentation and dossiers for works tender procedures (</w:t>
      </w:r>
      <w:r>
        <w:rPr>
          <w:rStyle w:val="Emphasis"/>
          <w:i w:val="false"/>
          <w:sz w:val="22"/>
          <w:szCs w:val="22"/>
        </w:rPr>
        <w:t>version 20 Jan 2025)</w:t>
      </w:r>
      <w:r>
        <w:rPr>
          <w:rStyle w:val="Emphasis"/>
          <w:i w:val="false"/>
          <w:sz w:val="22"/>
          <w:szCs w:val="22"/>
          <w:lang w:val="en-GB"/>
        </w:rPr>
        <w:t xml:space="preserve">, according a pre-developed and approved Project Procurement Plan which was developed by the Contracting Authority and approved by the Joint Technical Secretariat team of the IPA Cross-Border Cooperation Programme between Bulgaria and North Macedonia. The tender dossier should provide smooth execution of the works activities according to the guidelines for implementation of the simplified procedures for Works contracts according to the Practical guide to contract procedures for EU external actions, grant contract external actions of the European Union, and approved Project procurement plan. </w:t>
      </w:r>
    </w:p>
    <w:p>
      <w:pPr>
        <w:pStyle w:val="Normal"/>
        <w:snapToGrid w:val="false"/>
        <w:ind w:left="709"/>
        <w:jc w:val="both"/>
        <w:rPr>
          <w:rStyle w:val="Emphasis"/>
          <w:i w:val="false"/>
          <w:i w:val="false"/>
          <w:sz w:val="22"/>
          <w:szCs w:val="22"/>
          <w:lang w:val="en-GB"/>
        </w:rPr>
      </w:pPr>
      <w:r>
        <w:rPr>
          <w:rStyle w:val="Emphasis"/>
          <w:i w:val="false"/>
          <w:sz w:val="22"/>
          <w:szCs w:val="22"/>
          <w:lang w:val="en-GB"/>
        </w:rPr>
        <w:t>The selected economic operator (company) shall execute works according the rules and the approved technical documentation (Basic Project no. 04-53/2022) “Adrenaline Park With Associated Facilities (Temporary Structures)”. Details of the positions and quantities are described in the technical documentation (construction part, architecture, electricity and other installations and water and sewerage) and the tender dossier for works.</w:t>
      </w:r>
    </w:p>
    <w:p>
      <w:pPr>
        <w:pStyle w:val="Normal"/>
        <w:snapToGrid w:val="false"/>
        <w:ind w:left="709"/>
        <w:jc w:val="both"/>
        <w:rPr>
          <w:rStyle w:val="Emphasis"/>
          <w:i w:val="false"/>
          <w:i w:val="false"/>
          <w:sz w:val="22"/>
          <w:szCs w:val="22"/>
          <w:lang w:val="en-GB"/>
        </w:rPr>
      </w:pPr>
      <w:r>
        <w:rPr>
          <w:i w:val="false"/>
          <w:sz w:val="22"/>
          <w:szCs w:val="22"/>
          <w:lang w:val="en-GB"/>
        </w:rPr>
      </w:r>
    </w:p>
    <w:p>
      <w:pPr>
        <w:pStyle w:val="PRAGHeading2"/>
        <w:numPr>
          <w:ilvl w:val="0"/>
          <w:numId w:val="2"/>
        </w:numPr>
        <w:rPr>
          <w:rStyle w:val="Strong"/>
          <w:sz w:val="22"/>
          <w:szCs w:val="22"/>
          <w:lang w:val="en-GB"/>
        </w:rPr>
      </w:pPr>
      <w:r>
        <w:rPr>
          <w:rStyle w:val="Strong"/>
          <w:sz w:val="22"/>
          <w:szCs w:val="22"/>
          <w:lang w:val="en-GB"/>
        </w:rPr>
        <w:t>Provisional commencement date of the contract</w:t>
      </w:r>
    </w:p>
    <w:p>
      <w:pPr>
        <w:pStyle w:val="Normal"/>
        <w:ind w:left="709"/>
        <w:rPr>
          <w:sz w:val="22"/>
          <w:szCs w:val="22"/>
          <w:lang w:val="en-GB"/>
        </w:rPr>
      </w:pPr>
      <w:r>
        <w:rPr>
          <w:sz w:val="22"/>
          <w:szCs w:val="22"/>
          <w:lang w:val="en-GB"/>
        </w:rPr>
        <w:t>22.0</w:t>
      </w:r>
      <w:r>
        <w:rPr>
          <w:sz w:val="22"/>
          <w:szCs w:val="22"/>
          <w:lang w:val="en-GB"/>
        </w:rPr>
        <w:t>9</w:t>
      </w:r>
      <w:r>
        <w:rPr>
          <w:sz w:val="22"/>
          <w:szCs w:val="22"/>
          <w:lang w:val="en-GB"/>
        </w:rPr>
        <w:t>.2025</w:t>
      </w:r>
    </w:p>
    <w:p>
      <w:pPr>
        <w:pStyle w:val="PRAGHeading2"/>
        <w:numPr>
          <w:ilvl w:val="0"/>
          <w:numId w:val="2"/>
        </w:numPr>
        <w:rPr>
          <w:rStyle w:val="Strong"/>
          <w:b w:val="false"/>
          <w:sz w:val="22"/>
          <w:szCs w:val="22"/>
          <w:lang w:val="en-GB"/>
        </w:rPr>
      </w:pPr>
      <w:r>
        <w:rPr>
          <w:rStyle w:val="Strong"/>
          <w:b w:val="false"/>
          <w:sz w:val="22"/>
          <w:szCs w:val="22"/>
          <w:lang w:val="en-GB"/>
        </w:rPr>
        <w:t>P</w:t>
      </w:r>
      <w:r>
        <w:rPr>
          <w:b/>
          <w:sz w:val="22"/>
          <w:szCs w:val="22"/>
          <w:lang w:val="en-GB"/>
        </w:rPr>
        <w:t>eriod of implementation of tasks</w:t>
      </w:r>
    </w:p>
    <w:p>
      <w:pPr>
        <w:pStyle w:val="Normal"/>
        <w:ind w:left="709"/>
        <w:rPr>
          <w:sz w:val="22"/>
          <w:szCs w:val="22"/>
          <w:lang w:val="en-GB"/>
        </w:rPr>
      </w:pPr>
      <w:r>
        <w:rPr>
          <w:sz w:val="22"/>
          <w:szCs w:val="22"/>
          <w:lang w:val="en-GB"/>
        </w:rPr>
        <w:t xml:space="preserve">Maximum </w:t>
      </w:r>
      <w:r>
        <w:rPr>
          <w:sz w:val="22"/>
          <w:szCs w:val="22"/>
          <w:lang w:val="en-GB"/>
        </w:rPr>
        <w:t>12</w:t>
      </w:r>
      <w:r>
        <w:rPr>
          <w:sz w:val="22"/>
          <w:szCs w:val="22"/>
          <w:lang w:val="en-GB"/>
        </w:rPr>
        <w:t xml:space="preserve"> months after signing of the contract, but not later than </w:t>
      </w:r>
      <w:r>
        <w:rPr>
          <w:sz w:val="22"/>
          <w:szCs w:val="22"/>
          <w:lang w:val="en-GB"/>
        </w:rPr>
        <w:t>01</w:t>
      </w:r>
      <w:r>
        <w:rPr>
          <w:sz w:val="22"/>
          <w:szCs w:val="22"/>
          <w:lang w:val="en-GB"/>
        </w:rPr>
        <w:t>.1</w:t>
      </w:r>
      <w:r>
        <w:rPr>
          <w:sz w:val="22"/>
          <w:szCs w:val="22"/>
          <w:lang w:val="en-GB"/>
        </w:rPr>
        <w:t>0</w:t>
      </w:r>
      <w:r>
        <w:rPr>
          <w:sz w:val="22"/>
          <w:szCs w:val="22"/>
          <w:lang w:val="en-GB"/>
        </w:rPr>
        <w:t>.202</w:t>
      </w:r>
      <w:r>
        <w:rPr>
          <w:sz w:val="22"/>
          <w:szCs w:val="22"/>
          <w:lang w:val="en-GB"/>
        </w:rPr>
        <w:t>6</w:t>
      </w:r>
    </w:p>
    <w:p>
      <w:pPr>
        <w:pStyle w:val="Normal"/>
        <w:ind w:left="360"/>
        <w:jc w:val="center"/>
        <w:rPr>
          <w:rStyle w:val="Strong"/>
          <w:sz w:val="22"/>
          <w:szCs w:val="22"/>
          <w:lang w:val="en-GB"/>
        </w:rPr>
      </w:pPr>
      <w:r>
        <mc:AlternateContent>
          <mc:Choice Requires="wps">
            <w:drawing>
              <wp:anchor behindDoc="0" distT="0" distB="0" distL="114300" distR="114300" simplePos="0" locked="0" layoutInCell="1" allowOverlap="1" relativeHeight="5">
                <wp:simplePos x="0" y="0"/>
                <wp:positionH relativeFrom="column">
                  <wp:posOffset>28575</wp:posOffset>
                </wp:positionH>
                <wp:positionV relativeFrom="paragraph">
                  <wp:posOffset>11430</wp:posOffset>
                </wp:positionV>
                <wp:extent cx="5943600" cy="635"/>
                <wp:effectExtent l="11430" t="11430" r="11430" b="11430"/>
                <wp:wrapNone/>
                <wp:docPr id="3" name=""/>
                <a:graphic xmlns:a="http://schemas.openxmlformats.org/drawingml/2006/main">
                  <a:graphicData uri="http://schemas.microsoft.com/office/word/2010/wordprocessingShape">
                    <wps:wsp>
                      <wps:cNvSpPr/>
                      <wps:spPr>
                        <a:xfrm>
                          <a:off x="0" y="0"/>
                          <a:ext cx="5943600" cy="720"/>
                        </a:xfrm>
                        <a:prstGeom prst="line">
                          <a:avLst/>
                        </a:prstGeom>
                        <a:ln w="22320">
                          <a:solidFill>
                            <a:srgbClr val="d4d4d4"/>
                          </a:solidFill>
                          <a:round/>
                        </a:ln>
                      </wps:spPr>
                      <wps:style>
                        <a:lnRef idx="0"/>
                        <a:fillRef idx="0"/>
                        <a:effectRef idx="0"/>
                        <a:fontRef idx="minor"/>
                      </wps:style>
                      <wps:bodyPr/>
                    </wps:wsp>
                  </a:graphicData>
                </a:graphic>
              </wp:anchor>
            </w:drawing>
          </mc:Choice>
          <mc:Fallback>
            <w:pict>
              <v:line id="shape_0" from="2.25pt,0.9pt" to="470.2pt,0.9pt" stroked="t" o:allowincell="f" style="position:absolute">
                <v:stroke color="#d4d4d4" weight="22320" joinstyle="round" endcap="flat"/>
                <v:fill o:detectmouseclick="t" on="false"/>
                <w10:wrap type="none"/>
              </v:line>
            </w:pict>
          </mc:Fallback>
        </mc:AlternateContent>
      </w:r>
      <w:r>
        <w:rPr>
          <w:rStyle w:val="Strong"/>
          <w:sz w:val="22"/>
          <w:szCs w:val="22"/>
          <w:lang w:val="en-GB"/>
        </w:rPr>
        <w:t>CONDITIONS OF PARTICIPATION</w:t>
      </w:r>
    </w:p>
    <w:p>
      <w:pPr>
        <w:pStyle w:val="PRAGHeading2"/>
        <w:numPr>
          <w:ilvl w:val="0"/>
          <w:numId w:val="2"/>
        </w:numPr>
        <w:rPr>
          <w:rStyle w:val="eop"/>
          <w:b/>
          <w:sz w:val="22"/>
          <w:szCs w:val="22"/>
          <w:lang w:val="en-GB"/>
        </w:rPr>
      </w:pPr>
      <w:r>
        <w:rPr>
          <w:rStyle w:val="Strong"/>
          <w:sz w:val="22"/>
          <w:szCs w:val="22"/>
          <w:lang w:val="en-GB"/>
        </w:rPr>
        <w:t>Legal basis, eligibility and rules of origin</w:t>
      </w:r>
    </w:p>
    <w:p>
      <w:pPr>
        <w:pStyle w:val="Normal"/>
        <w:spacing w:before="80" w:after="80"/>
        <w:ind w:left="709"/>
        <w:rPr/>
      </w:pPr>
      <w:bookmarkStart w:id="0" w:name="_GoBack"/>
      <w:r>
        <w:rPr>
          <w:iCs/>
          <w:sz w:val="22"/>
          <w:szCs w:val="22"/>
          <w:lang w:val="en-IE"/>
        </w:rPr>
        <w:t>The legal basis of this procedure is Regulation (EU) No 2021/1529 establishing the Instrument for Pre-accession Assistance (IPA III). See</w:t>
      </w:r>
      <w:r>
        <w:rPr>
          <w:rStyle w:val="normaltextrun"/>
          <w:sz w:val="22"/>
          <w:szCs w:val="22"/>
          <w:lang w:val="en-GB"/>
        </w:rPr>
        <w:t xml:space="preserve"> Annex a2a1 of the practical guide.</w:t>
      </w:r>
    </w:p>
    <w:p>
      <w:pPr>
        <w:pStyle w:val="Normal"/>
        <w:spacing w:before="80" w:after="80"/>
        <w:ind w:left="709"/>
        <w:jc w:val="both"/>
        <w:rPr/>
      </w:pPr>
      <w:r>
        <w:rPr>
          <w:iCs/>
          <w:sz w:val="22"/>
          <w:szCs w:val="22"/>
          <w:lang w:val="en-IE"/>
        </w:rPr>
        <w:t>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11 of Regulation (EU) No 2021/1529 establishing the Instrument for Pre-accession Assistance (IPA III).</w:t>
      </w:r>
    </w:p>
    <w:p>
      <w:pPr>
        <w:pStyle w:val="Normal"/>
        <w:spacing w:before="80" w:after="80"/>
        <w:ind w:left="709"/>
        <w:rPr>
          <w:iCs/>
          <w:sz w:val="22"/>
          <w:szCs w:val="22"/>
          <w:lang w:val="en-IE"/>
        </w:rPr>
      </w:pPr>
      <w:r>
        <w:rPr>
          <w:iCs/>
          <w:sz w:val="22"/>
          <w:szCs w:val="22"/>
          <w:lang w:val="en-IE"/>
        </w:rPr>
        <w:t>Interreg VI-A IPA Bulgaria - North Macedonia Programme, approved with Commission Implementing Decision C(2022) 8880 of 29.11.2022.</w:t>
      </w:r>
    </w:p>
    <w:p>
      <w:pPr>
        <w:pStyle w:val="Normal"/>
        <w:spacing w:before="80" w:after="80"/>
        <w:ind w:left="709"/>
        <w:rPr>
          <w:iCs/>
          <w:sz w:val="22"/>
          <w:szCs w:val="22"/>
          <w:lang w:val="en-IE"/>
        </w:rPr>
      </w:pPr>
      <w:r>
        <w:rPr>
          <w:iCs/>
          <w:sz w:val="22"/>
          <w:szCs w:val="22"/>
          <w:lang w:val="en-IE"/>
        </w:rPr>
        <w:t>Interreg VI-A IPA Bulgaria - North Macedonia Programme 2021 – 2027 CCI 2021TC16IPCB006.</w:t>
      </w:r>
    </w:p>
    <w:p>
      <w:pPr>
        <w:pStyle w:val="PRAGHeading2"/>
        <w:numPr>
          <w:ilvl w:val="0"/>
          <w:numId w:val="0"/>
        </w:numPr>
        <w:spacing w:before="80" w:after="80"/>
        <w:ind w:firstLine="436" w:left="284" w:right="357"/>
        <w:rPr/>
      </w:pPr>
      <w:r>
        <w:rPr/>
        <w:t>Grant contract ref. no. RD02-29-</w:t>
      </w:r>
      <w:r>
        <w:rPr>
          <w:lang w:val="en-GB"/>
        </w:rPr>
        <w:t>254/07.03.2025.</w:t>
      </w:r>
      <w:bookmarkStart w:id="1" w:name="_DV_M201"/>
      <w:bookmarkEnd w:id="0"/>
      <w:bookmarkEnd w:id="1"/>
    </w:p>
    <w:p>
      <w:pPr>
        <w:pStyle w:val="PRAGHeading2"/>
        <w:keepNext w:val="true"/>
        <w:keepLines/>
        <w:numPr>
          <w:ilvl w:val="0"/>
          <w:numId w:val="2"/>
        </w:numPr>
        <w:jc w:val="both"/>
        <w:rPr>
          <w:rStyle w:val="Strong"/>
          <w:sz w:val="22"/>
          <w:szCs w:val="22"/>
          <w:lang w:val="en-GB"/>
        </w:rPr>
      </w:pPr>
      <w:r>
        <w:rPr>
          <w:rStyle w:val="Strong"/>
          <w:sz w:val="22"/>
          <w:szCs w:val="22"/>
          <w:lang w:val="en-GB"/>
        </w:rPr>
        <w:t>Subcontracting</w:t>
      </w:r>
    </w:p>
    <w:p>
      <w:pPr>
        <w:pStyle w:val="PRAGHeading2"/>
        <w:keepNext w:val="true"/>
        <w:keepLines/>
        <w:numPr>
          <w:ilvl w:val="0"/>
          <w:numId w:val="0"/>
        </w:numPr>
        <w:spacing w:before="80" w:after="80"/>
        <w:ind w:hanging="0" w:left="720"/>
        <w:jc w:val="both"/>
        <w:rPr>
          <w:sz w:val="22"/>
          <w:szCs w:val="22"/>
          <w:lang w:val="en-GB"/>
        </w:rPr>
      </w:pPr>
      <w:r>
        <w:rPr>
          <w:rStyle w:val="Strong"/>
          <w:b w:val="false"/>
          <w:sz w:val="22"/>
          <w:szCs w:val="22"/>
          <w:lang w:val="en-GB"/>
        </w:rPr>
        <w:t>Subcontracting is allowed.</w:t>
      </w:r>
    </w:p>
    <w:p>
      <w:pPr>
        <w:pStyle w:val="PRAGHeading2"/>
        <w:keepNext w:val="true"/>
        <w:keepLines/>
        <w:numPr>
          <w:ilvl w:val="0"/>
          <w:numId w:val="0"/>
        </w:numPr>
        <w:spacing w:before="80" w:after="80"/>
        <w:ind w:hanging="0" w:left="720"/>
        <w:jc w:val="both"/>
        <w:rPr>
          <w:rStyle w:val="Strong"/>
          <w:sz w:val="22"/>
          <w:szCs w:val="22"/>
          <w:lang w:val="en-GB"/>
        </w:rPr>
      </w:pPr>
      <w:r>
        <w:rPr>
          <w:sz w:val="22"/>
          <w:szCs w:val="22"/>
          <w:lang w:val="en-GB"/>
        </w:rPr>
        <w:t>Subcontractors, suppliers and entities upon whose capacity the tenderer relies for the selection criteria, must be eligible in respect of the rules on nationality and origin for the financing programme detailed in Section 10 above.</w:t>
      </w:r>
    </w:p>
    <w:p>
      <w:pPr>
        <w:pStyle w:val="PRAGHeading2"/>
        <w:numPr>
          <w:ilvl w:val="0"/>
          <w:numId w:val="2"/>
        </w:numPr>
        <w:jc w:val="both"/>
        <w:rPr>
          <w:rStyle w:val="Strong"/>
          <w:sz w:val="22"/>
          <w:szCs w:val="22"/>
          <w:lang w:val="en-GB"/>
        </w:rPr>
      </w:pPr>
      <w:r>
        <w:rPr>
          <w:rStyle w:val="Strong"/>
          <w:sz w:val="22"/>
          <w:szCs w:val="22"/>
          <w:lang w:val="en-GB"/>
        </w:rPr>
        <w:t>Grounds for exclusion</w:t>
      </w:r>
    </w:p>
    <w:p>
      <w:pPr>
        <w:pStyle w:val="PRAGHeading2"/>
        <w:keepNext w:val="true"/>
        <w:keepLines/>
        <w:numPr>
          <w:ilvl w:val="0"/>
          <w:numId w:val="0"/>
        </w:numPr>
        <w:spacing w:before="80" w:after="80"/>
        <w:ind w:hanging="0" w:left="720"/>
        <w:jc w:val="both"/>
        <w:rPr>
          <w:sz w:val="22"/>
          <w:szCs w:val="22"/>
          <w:lang w:val="en-GB"/>
        </w:rPr>
      </w:pPr>
      <w:r>
        <w:rPr>
          <w:sz w:val="22"/>
          <w:szCs w:val="22"/>
          <w:lang w:val="en-GB"/>
        </w:rPr>
        <w:t>Natural persons, companies or undertakings falling into a situation set out in Section 2.6.10.1.1. (‘exclusion from participation in procurement procedures’) and Section 2.6.10.1.2. (‘rejection from a given procedure’) of the practical guide, are not entitled to participate in this tender procedure or be awarded a contract. Should they do so, their tender will be considered unsuitable or irregular respectively. Tenderers must provide declarations to the effect that they are not in any of the exclusion situations listed in Section 2.6.10.1. of the practical guide. The declarations must cover all the members of a joint venture/consortium. Tenderers guilty of making false declarations may also incur financial penalties up to 10% of the value of the contract and exclusion in accordance with the Financial Regulation in force.</w:t>
      </w:r>
    </w:p>
    <w:p>
      <w:pPr>
        <w:pStyle w:val="Normal"/>
        <w:keepNext w:val="true"/>
        <w:keepLines/>
        <w:spacing w:before="80" w:after="80"/>
        <w:ind w:left="709"/>
        <w:jc w:val="both"/>
        <w:rPr>
          <w:sz w:val="22"/>
          <w:szCs w:val="22"/>
          <w:lang w:val="en-GB"/>
        </w:rPr>
      </w:pPr>
      <w:r>
        <w:rPr>
          <w:sz w:val="22"/>
          <w:szCs w:val="22"/>
          <w:lang w:val="en-GB"/>
        </w:rPr>
        <w:t>Those exclusion situations apply to all members of a joint venture/consortium, all subcontractors and all suppliers to tenderers, as well as to all entities upon whose capacity the tenderer relies for the selection criteria.</w:t>
      </w:r>
    </w:p>
    <w:p>
      <w:pPr>
        <w:pStyle w:val="PRAGHeading2"/>
        <w:numPr>
          <w:ilvl w:val="0"/>
          <w:numId w:val="0"/>
        </w:numPr>
        <w:ind w:hanging="0" w:left="0"/>
        <w:jc w:val="both"/>
        <w:rPr>
          <w:rStyle w:val="Strong"/>
          <w:sz w:val="22"/>
          <w:szCs w:val="22"/>
          <w:lang w:val="en-GB"/>
        </w:rPr>
      </w:pPr>
      <w:r>
        <w:rPr>
          <w:sz w:val="22"/>
          <w:szCs w:val="22"/>
          <w:lang w:val="en-GB"/>
        </w:rPr>
      </w:r>
    </w:p>
    <w:p>
      <w:pPr>
        <w:pStyle w:val="Normal"/>
        <w:keepNext w:val="true"/>
        <w:keepLines/>
        <w:spacing w:before="80" w:after="80"/>
        <w:ind w:left="709"/>
        <w:jc w:val="both"/>
        <w:rPr>
          <w:sz w:val="22"/>
          <w:szCs w:val="22"/>
          <w:lang w:val="en-GB"/>
        </w:rPr>
      </w:pPr>
      <w:r>
        <w:rPr>
          <w:sz w:val="22"/>
          <w:szCs w:val="22"/>
          <w:lang w:val="en-GB"/>
        </w:rPr>
        <w:t>Tenderers included in the lists of EU restrictive measures</w:t>
      </w:r>
      <w:r>
        <w:rPr>
          <w:rStyle w:val="FootnoteReference"/>
          <w:sz w:val="22"/>
          <w:szCs w:val="22"/>
          <w:lang w:val="en-GB"/>
        </w:rPr>
        <w:footnoteReference w:id="2"/>
      </w:r>
      <w:r>
        <w:rPr>
          <w:sz w:val="22"/>
          <w:szCs w:val="22"/>
          <w:lang w:val="en-GB"/>
        </w:rPr>
        <w:t xml:space="preserve"> (see Section 2.4. of the PRAG) at the moment of the award decision cannot be awarded the contract.</w:t>
      </w:r>
    </w:p>
    <w:p>
      <w:pPr>
        <w:pStyle w:val="PRAGHeading2"/>
        <w:numPr>
          <w:ilvl w:val="0"/>
          <w:numId w:val="2"/>
        </w:numPr>
        <w:jc w:val="both"/>
        <w:rPr>
          <w:rStyle w:val="Strong"/>
          <w:sz w:val="22"/>
          <w:szCs w:val="22"/>
          <w:lang w:val="en-GB"/>
        </w:rPr>
      </w:pPr>
      <w:r>
        <w:rPr>
          <w:rStyle w:val="Strong"/>
          <w:sz w:val="22"/>
          <w:szCs w:val="22"/>
          <w:lang w:val="en-GB"/>
        </w:rPr>
        <w:t>Number of tenders</w:t>
      </w:r>
    </w:p>
    <w:p>
      <w:pPr>
        <w:pStyle w:val="Normal"/>
        <w:ind w:left="709"/>
        <w:jc w:val="both"/>
        <w:rPr>
          <w:sz w:val="22"/>
          <w:szCs w:val="22"/>
          <w:lang w:val="en-GB"/>
        </w:rPr>
      </w:pPr>
      <w:r>
        <w:rPr>
          <w:sz w:val="22"/>
          <w:szCs w:val="22"/>
          <w:lang w:val="en-GB"/>
        </w:rPr>
        <w:t>Tenderers may submit only one tender. Tenders for parts of the works will not be considered. Tenderers may not submit a tender for a variant solution in addition to their tender for the works required in the tender dossier.</w:t>
      </w:r>
    </w:p>
    <w:p>
      <w:pPr>
        <w:pStyle w:val="Normal"/>
        <w:keepNext w:val="true"/>
        <w:keepLines/>
        <w:jc w:val="both"/>
        <w:rPr>
          <w:sz w:val="22"/>
          <w:szCs w:val="22"/>
          <w:lang w:val="en-GB"/>
        </w:rPr>
      </w:pPr>
      <w:r>
        <w:rPr>
          <w:sz w:val="22"/>
          <w:szCs w:val="22"/>
          <w:lang w:val="en-GB"/>
        </w:rPr>
        <mc:AlternateContent>
          <mc:Choice Requires="wps">
            <w:drawing>
              <wp:anchor behindDoc="0" distT="0" distB="0" distL="114300" distR="114300" simplePos="0" locked="0" layoutInCell="1" allowOverlap="1" relativeHeight="2">
                <wp:simplePos x="0" y="0"/>
                <wp:positionH relativeFrom="column">
                  <wp:posOffset>0</wp:posOffset>
                </wp:positionH>
                <wp:positionV relativeFrom="paragraph">
                  <wp:posOffset>152400</wp:posOffset>
                </wp:positionV>
                <wp:extent cx="5943600" cy="635"/>
                <wp:effectExtent l="11430" t="11430" r="11430" b="11430"/>
                <wp:wrapNone/>
                <wp:docPr id="4" name=""/>
                <a:graphic xmlns:a="http://schemas.openxmlformats.org/drawingml/2006/main">
                  <a:graphicData uri="http://schemas.microsoft.com/office/word/2010/wordprocessingShape">
                    <wps:wsp>
                      <wps:cNvSpPr/>
                      <wps:spPr>
                        <a:xfrm>
                          <a:off x="0" y="0"/>
                          <a:ext cx="5943600" cy="720"/>
                        </a:xfrm>
                        <a:prstGeom prst="line">
                          <a:avLst/>
                        </a:prstGeom>
                        <a:ln w="22320">
                          <a:solidFill>
                            <a:srgbClr val="d4d4d4"/>
                          </a:solidFill>
                          <a:round/>
                        </a:ln>
                      </wps:spPr>
                      <wps:style>
                        <a:lnRef idx="0"/>
                        <a:fillRef idx="0"/>
                        <a:effectRef idx="0"/>
                        <a:fontRef idx="minor"/>
                      </wps:style>
                      <wps:bodyPr/>
                    </wps:wsp>
                  </a:graphicData>
                </a:graphic>
              </wp:anchor>
            </w:drawing>
          </mc:Choice>
          <mc:Fallback>
            <w:pict>
              <v:line id="shape_0" from="0pt,12pt" to="467.95pt,12pt" stroked="t" o:allowincell="f" style="position:absolute">
                <v:stroke color="#d4d4d4" weight="22320" joinstyle="round" endcap="flat"/>
                <v:fill o:detectmouseclick="t" on="false"/>
                <w10:wrap type="none"/>
              </v:line>
            </w:pict>
          </mc:Fallback>
        </mc:AlternateContent>
      </w:r>
    </w:p>
    <w:p>
      <w:pPr>
        <w:pStyle w:val="Normal"/>
        <w:keepNext w:val="true"/>
        <w:keepLines/>
        <w:ind w:left="360"/>
        <w:jc w:val="both"/>
        <w:rPr>
          <w:rStyle w:val="Strong"/>
          <w:sz w:val="22"/>
          <w:szCs w:val="22"/>
          <w:lang w:val="en-GB"/>
        </w:rPr>
      </w:pPr>
      <w:r>
        <w:rPr>
          <w:rStyle w:val="Strong"/>
          <w:sz w:val="22"/>
          <w:szCs w:val="22"/>
          <w:lang w:val="en-GB"/>
        </w:rPr>
        <w:t>SELECTION AND AWARD CRITERIA</w:t>
      </w:r>
    </w:p>
    <w:p>
      <w:pPr>
        <w:pStyle w:val="PRAGHeading2"/>
        <w:numPr>
          <w:ilvl w:val="0"/>
          <w:numId w:val="2"/>
        </w:numPr>
        <w:jc w:val="both"/>
        <w:rPr>
          <w:rStyle w:val="Strong"/>
          <w:sz w:val="22"/>
          <w:szCs w:val="22"/>
          <w:lang w:val="en-GB"/>
        </w:rPr>
      </w:pPr>
      <w:r>
        <w:rPr>
          <w:rStyle w:val="Strong"/>
          <w:sz w:val="22"/>
          <w:szCs w:val="22"/>
          <w:lang w:val="en-GB"/>
        </w:rPr>
        <w:t>Selection criteria</w:t>
      </w:r>
    </w:p>
    <w:p>
      <w:pPr>
        <w:pStyle w:val="Heading3"/>
        <w:numPr>
          <w:ilvl w:val="0"/>
          <w:numId w:val="0"/>
        </w:numPr>
        <w:ind w:hanging="0" w:left="720"/>
        <w:rPr>
          <w:lang w:val="en-GB"/>
        </w:rPr>
      </w:pPr>
      <w:r>
        <w:rPr/>
        <w:t xml:space="preserve">In order to be eligible for the award of the contract, tenderers must provide evidence that they meet the selection criteria. </w:t>
      </w:r>
      <w:r>
        <w:rPr>
          <w:lang w:val="en-GB"/>
        </w:rPr>
        <w:t>If a tender is submitted by a consortium, unless specified, the selection criteria will be applied to the consortium as a whole.</w:t>
      </w:r>
    </w:p>
    <w:p>
      <w:pPr>
        <w:pStyle w:val="Normal"/>
        <w:ind w:left="720"/>
        <w:jc w:val="both"/>
        <w:rPr>
          <w:sz w:val="22"/>
          <w:lang w:val="en-GB"/>
        </w:rPr>
      </w:pPr>
      <w:r>
        <w:rPr>
          <w:sz w:val="22"/>
          <w:lang w:val="en-GB"/>
        </w:rPr>
        <w:t>The selection criteria for each tenderer are as follows:</w:t>
      </w:r>
    </w:p>
    <w:p>
      <w:pPr>
        <w:pStyle w:val="Normal"/>
        <w:ind w:left="720"/>
        <w:jc w:val="both"/>
        <w:rPr>
          <w:b/>
          <w:sz w:val="22"/>
          <w:u w:val="single"/>
          <w:lang w:val="en-GB"/>
        </w:rPr>
      </w:pPr>
      <w:r>
        <w:rPr>
          <w:b/>
          <w:sz w:val="22"/>
          <w:u w:val="single"/>
          <w:lang w:val="en-GB"/>
        </w:rPr>
        <w:t>The selection criteria for each tenderer are as follows:</w:t>
      </w:r>
    </w:p>
    <w:p>
      <w:pPr>
        <w:pStyle w:val="Normal"/>
        <w:widowControl/>
        <w:numPr>
          <w:ilvl w:val="0"/>
          <w:numId w:val="4"/>
        </w:numPr>
        <w:snapToGrid w:val="false"/>
        <w:spacing w:before="120" w:after="0"/>
        <w:jc w:val="both"/>
        <w:rPr>
          <w:sz w:val="22"/>
          <w:szCs w:val="22"/>
          <w:lang w:val="en-GB"/>
        </w:rPr>
      </w:pPr>
      <w:r>
        <w:rPr>
          <w:sz w:val="22"/>
          <w:szCs w:val="22"/>
          <w:lang w:val="en-GB"/>
        </w:rPr>
        <w:t>For this project the tenderer should allocate Key personal (engineer) with the following criteria;</w:t>
      </w:r>
    </w:p>
    <w:p>
      <w:pPr>
        <w:pStyle w:val="Normal"/>
        <w:numPr>
          <w:ilvl w:val="1"/>
          <w:numId w:val="4"/>
        </w:numPr>
        <w:spacing w:before="60" w:after="40"/>
        <w:jc w:val="both"/>
        <w:rPr>
          <w:sz w:val="22"/>
          <w:szCs w:val="22"/>
          <w:lang w:val="en-GB"/>
        </w:rPr>
      </w:pPr>
      <w:r>
        <w:rPr>
          <w:sz w:val="22"/>
          <w:szCs w:val="22"/>
          <w:lang w:val="en-GB"/>
        </w:rPr>
        <w:t xml:space="preserve">Education: Bachelor's Degree level in Civil Engineering / Architect; </w:t>
      </w:r>
    </w:p>
    <w:p>
      <w:pPr>
        <w:pStyle w:val="Normal"/>
        <w:numPr>
          <w:ilvl w:val="1"/>
          <w:numId w:val="4"/>
        </w:numPr>
        <w:spacing w:before="60" w:after="40"/>
        <w:ind w:hanging="142" w:left="1560"/>
        <w:jc w:val="both"/>
        <w:rPr>
          <w:sz w:val="22"/>
          <w:szCs w:val="22"/>
          <w:lang w:val="en-GB"/>
        </w:rPr>
      </w:pPr>
      <w:r>
        <w:rPr>
          <w:sz w:val="22"/>
          <w:szCs w:val="22"/>
          <w:lang w:val="en-GB"/>
        </w:rPr>
        <w:t>Certificates: minimum Authorisation “B” for construction issued by the Chamber of certified Architects and certified Engineers of Republic of North Macedonia / or equivalent document issued by relevant institution for candidates outside the Republic of North Macedonia;</w:t>
      </w:r>
    </w:p>
    <w:p>
      <w:pPr>
        <w:pStyle w:val="Normal"/>
        <w:numPr>
          <w:ilvl w:val="1"/>
          <w:numId w:val="4"/>
        </w:numPr>
        <w:spacing w:before="60" w:after="40"/>
        <w:ind w:hanging="142" w:left="1560"/>
        <w:jc w:val="both"/>
        <w:rPr>
          <w:sz w:val="22"/>
          <w:szCs w:val="22"/>
          <w:lang w:val="en-GB"/>
        </w:rPr>
      </w:pPr>
      <w:r>
        <w:rPr>
          <w:sz w:val="22"/>
          <w:szCs w:val="22"/>
          <w:lang w:val="en-GB"/>
        </w:rPr>
        <w:t>Professional experience: experience in at least 2 projects as Technical Site Manager / Project Manager / Site engineer of works contracts.</w:t>
      </w:r>
    </w:p>
    <w:p>
      <w:pPr>
        <w:pStyle w:val="Normal"/>
        <w:ind w:left="709"/>
        <w:jc w:val="both"/>
        <w:rPr>
          <w:sz w:val="22"/>
          <w:szCs w:val="22"/>
          <w:lang w:val="en-GB"/>
        </w:rPr>
      </w:pPr>
      <w:r>
        <w:rPr>
          <w:sz w:val="22"/>
          <w:szCs w:val="22"/>
          <w:lang w:val="en-GB"/>
        </w:rPr>
        <w:t xml:space="preserve">The information should be presented in the Vol. 1, Section 4, Form 4.6.1.2 </w:t>
      </w:r>
      <w:bookmarkStart w:id="2" w:name="_Toc41823846"/>
      <w:r>
        <w:rPr>
          <w:sz w:val="22"/>
          <w:szCs w:val="22"/>
          <w:lang w:val="en-GB"/>
        </w:rPr>
        <w:t>Staff to be employed on the contract</w:t>
      </w:r>
      <w:bookmarkEnd w:id="2"/>
      <w:r>
        <w:rPr>
          <w:sz w:val="22"/>
          <w:szCs w:val="22"/>
          <w:lang w:val="en-GB"/>
        </w:rPr>
        <w:t>.</w:t>
      </w:r>
    </w:p>
    <w:p>
      <w:pPr>
        <w:pStyle w:val="Normal"/>
        <w:ind w:left="709"/>
        <w:jc w:val="both"/>
        <w:rPr>
          <w:sz w:val="22"/>
          <w:szCs w:val="22"/>
          <w:lang w:val="en-GB"/>
        </w:rPr>
      </w:pPr>
      <w:r>
        <w:rPr>
          <w:sz w:val="22"/>
          <w:szCs w:val="22"/>
          <w:lang w:val="en-GB"/>
        </w:rPr>
        <w:t xml:space="preserve">The tenderer should provide proof for the education (diplomas), authorization according the national legislation i.e. Authorisation “B” for Technical Site Manager/Civil Construction Engineer/Architect issued by the Chamber of certified Architects and certified Engineers of Republic of North Macedonia / or equivalent document issued by relevant institution for candidates outside the Republic of North Macedonia. Contracting authority may request for contracts, references or other documents to proof the professional experience of the Key Staff. </w:t>
      </w:r>
    </w:p>
    <w:p>
      <w:pPr>
        <w:pStyle w:val="Normal"/>
        <w:widowControl/>
        <w:numPr>
          <w:ilvl w:val="0"/>
          <w:numId w:val="4"/>
        </w:numPr>
        <w:snapToGrid w:val="false"/>
        <w:spacing w:before="120" w:after="0"/>
        <w:jc w:val="both"/>
        <w:rPr>
          <w:sz w:val="22"/>
          <w:szCs w:val="22"/>
          <w:lang w:val="en-GB"/>
        </w:rPr>
      </w:pPr>
      <w:r>
        <w:rPr>
          <w:sz w:val="22"/>
          <w:szCs w:val="22"/>
          <w:lang w:val="en-GB"/>
        </w:rPr>
        <w:t xml:space="preserve">The tenderers have to list the contracts i.e. experiences (Volume 1, Section </w:t>
      </w:r>
      <w:r>
        <w:rPr>
          <w:sz w:val="22"/>
          <w:szCs w:val="22"/>
          <w:lang w:val="mk-MK"/>
        </w:rPr>
        <w:t>4</w:t>
      </w:r>
      <w:r>
        <w:rPr>
          <w:sz w:val="22"/>
          <w:szCs w:val="22"/>
          <w:lang w:val="en-GB"/>
        </w:rPr>
        <w:t>, Form 4.6.</w:t>
      </w:r>
      <w:r>
        <w:rPr>
          <w:sz w:val="22"/>
          <w:szCs w:val="22"/>
          <w:lang w:val="mk-MK"/>
        </w:rPr>
        <w:t>4</w:t>
      </w:r>
      <w:r>
        <w:rPr>
          <w:sz w:val="22"/>
          <w:szCs w:val="22"/>
          <w:lang w:val="en-GB"/>
        </w:rPr>
        <w:t xml:space="preserve"> Experience as Contractor) and have to provide at least 1 contract for works carried out in the last five years. Contract is considered completed if provisional/ final acceptance/ technical reception or equivalent certificate is issued by Contracting Authority/ Employer/ Client/ Supervisor clearly indicating the date of issuing of the aforementioned certificates. Completion means that the project the tenderer refers to has been completed at any time during the indicated period but it does not necessarily have to be started during that period, or implemented during the entire period.</w:t>
      </w:r>
    </w:p>
    <w:p>
      <w:pPr>
        <w:pStyle w:val="Normal"/>
        <w:widowControl/>
        <w:numPr>
          <w:ilvl w:val="0"/>
          <w:numId w:val="4"/>
        </w:numPr>
        <w:snapToGrid w:val="false"/>
        <w:spacing w:before="120" w:after="120"/>
        <w:jc w:val="both"/>
        <w:rPr>
          <w:sz w:val="22"/>
          <w:szCs w:val="22"/>
          <w:lang w:val="en-GB"/>
        </w:rPr>
      </w:pPr>
      <w:r>
        <w:rPr>
          <w:sz w:val="22"/>
          <w:szCs w:val="22"/>
          <w:lang w:val="en-GB"/>
        </w:rPr>
        <w:t>The tenderer must have the necessary technical capacity, i.e. machines, equipment, to prove that he can fulfil the works (Vol. 1, Section 4, Form 4.6.2 Plants). If the tenderer hasn’t got the necessary equipment he has to declare that he owns, have contract for rent the equipment or owned by the sub-contractor. The minimum should include:</w:t>
      </w:r>
    </w:p>
    <w:p>
      <w:pPr>
        <w:pStyle w:val="Normal"/>
        <w:widowControl/>
        <w:numPr>
          <w:ilvl w:val="0"/>
          <w:numId w:val="5"/>
        </w:numPr>
        <w:spacing w:before="0" w:after="80"/>
        <w:rPr>
          <w:sz w:val="22"/>
          <w:szCs w:val="22"/>
          <w:lang w:val="en-GB"/>
        </w:rPr>
      </w:pPr>
      <w:r>
        <w:rPr>
          <w:sz w:val="22"/>
          <w:szCs w:val="22"/>
          <w:lang w:val="en-GB"/>
        </w:rPr>
        <w:t>Tipper truck – at least 1 (minimum load 10 tons);</w:t>
      </w:r>
    </w:p>
    <w:p>
      <w:pPr>
        <w:pStyle w:val="Normal"/>
        <w:widowControl/>
        <w:numPr>
          <w:ilvl w:val="0"/>
          <w:numId w:val="5"/>
        </w:numPr>
        <w:spacing w:before="0" w:after="80"/>
        <w:rPr>
          <w:sz w:val="22"/>
          <w:szCs w:val="22"/>
          <w:lang w:val="en-GB"/>
        </w:rPr>
      </w:pPr>
      <w:r>
        <w:rPr>
          <w:sz w:val="22"/>
          <w:szCs w:val="22"/>
          <w:lang w:val="en-GB"/>
        </w:rPr>
        <w:t>Truck – at least 1 (minimum load 12 tons);</w:t>
      </w:r>
    </w:p>
    <w:p>
      <w:pPr>
        <w:pStyle w:val="Normal"/>
        <w:widowControl/>
        <w:numPr>
          <w:ilvl w:val="0"/>
          <w:numId w:val="5"/>
        </w:numPr>
        <w:spacing w:before="0" w:after="80"/>
        <w:rPr>
          <w:sz w:val="22"/>
          <w:szCs w:val="22"/>
          <w:lang w:val="en-GB"/>
        </w:rPr>
      </w:pPr>
      <w:r>
        <w:rPr>
          <w:sz w:val="22"/>
          <w:szCs w:val="22"/>
          <w:lang w:val="en-GB"/>
        </w:rPr>
        <w:t>Bulldozer – 1 (minimum weight 15 tons);</w:t>
      </w:r>
    </w:p>
    <w:p>
      <w:pPr>
        <w:pStyle w:val="Normal"/>
        <w:widowControl/>
        <w:numPr>
          <w:ilvl w:val="0"/>
          <w:numId w:val="5"/>
        </w:numPr>
        <w:spacing w:before="0" w:after="80"/>
        <w:rPr>
          <w:sz w:val="22"/>
          <w:szCs w:val="22"/>
          <w:lang w:val="en-GB"/>
        </w:rPr>
      </w:pPr>
      <w:r>
        <w:rPr>
          <w:sz w:val="22"/>
          <w:szCs w:val="22"/>
          <w:lang w:val="en-GB"/>
        </w:rPr>
        <w:t>Excavator – 1 (minimum weight 10 tons);</w:t>
      </w:r>
    </w:p>
    <w:p>
      <w:pPr>
        <w:pStyle w:val="Normal"/>
        <w:widowControl/>
        <w:numPr>
          <w:ilvl w:val="0"/>
          <w:numId w:val="5"/>
        </w:numPr>
        <w:spacing w:before="0" w:after="80"/>
        <w:rPr>
          <w:sz w:val="22"/>
          <w:szCs w:val="22"/>
          <w:lang w:val="en-GB"/>
        </w:rPr>
      </w:pPr>
      <w:r>
        <w:rPr>
          <w:sz w:val="22"/>
          <w:szCs w:val="22"/>
          <w:lang w:val="en-GB"/>
        </w:rPr>
        <w:t>Vibro roller - 1 (3 tons)</w:t>
      </w:r>
    </w:p>
    <w:p>
      <w:pPr>
        <w:pStyle w:val="Normal"/>
        <w:widowControl/>
        <w:numPr>
          <w:ilvl w:val="0"/>
          <w:numId w:val="5"/>
        </w:numPr>
        <w:spacing w:before="0" w:after="80"/>
        <w:rPr>
          <w:sz w:val="22"/>
          <w:szCs w:val="22"/>
          <w:lang w:val="en-GB"/>
        </w:rPr>
      </w:pPr>
      <w:r>
        <w:rPr>
          <w:sz w:val="22"/>
          <w:szCs w:val="22"/>
          <w:lang w:val="en-GB"/>
        </w:rPr>
        <w:t>Vibro plate  compressor – 1;</w:t>
      </w:r>
    </w:p>
    <w:p>
      <w:pPr>
        <w:pStyle w:val="Normal"/>
        <w:widowControl/>
        <w:numPr>
          <w:ilvl w:val="0"/>
          <w:numId w:val="5"/>
        </w:numPr>
        <w:spacing w:before="0" w:after="80"/>
        <w:rPr>
          <w:sz w:val="22"/>
          <w:szCs w:val="22"/>
          <w:lang w:val="en-GB"/>
        </w:rPr>
      </w:pPr>
      <w:r>
        <w:rPr>
          <w:sz w:val="22"/>
          <w:szCs w:val="22"/>
          <w:lang w:val="en-GB"/>
        </w:rPr>
        <w:t>Small tools for construction (small concrete mixers, wheel-barrows,</w:t>
        <w:br/>
        <w:t>portable pneumatic hammer/drill, chainsaw, welding apparatus,</w:t>
        <w:br/>
        <w:t>digital instrument for measuring of insulation and grounding etc.).</w:t>
      </w:r>
    </w:p>
    <w:p>
      <w:pPr>
        <w:pStyle w:val="Normal"/>
        <w:widowControl/>
        <w:numPr>
          <w:ilvl w:val="0"/>
          <w:numId w:val="4"/>
        </w:numPr>
        <w:snapToGrid w:val="false"/>
        <w:spacing w:before="120" w:after="0"/>
        <w:jc w:val="both"/>
        <w:rPr>
          <w:sz w:val="22"/>
          <w:szCs w:val="22"/>
          <w:lang w:val="en-GB"/>
        </w:rPr>
      </w:pPr>
      <w:r>
        <w:rPr>
          <w:sz w:val="22"/>
          <w:szCs w:val="22"/>
          <w:lang w:val="en-GB"/>
        </w:rPr>
        <w:t xml:space="preserve">Certificate (or other type of document) for working at height. </w:t>
      </w:r>
    </w:p>
    <w:p>
      <w:pPr>
        <w:pStyle w:val="Normal"/>
        <w:widowControl/>
        <w:numPr>
          <w:ilvl w:val="0"/>
          <w:numId w:val="4"/>
        </w:numPr>
        <w:snapToGrid w:val="false"/>
        <w:spacing w:before="120" w:after="0"/>
        <w:jc w:val="both"/>
        <w:rPr>
          <w:sz w:val="22"/>
          <w:szCs w:val="22"/>
          <w:lang w:val="en-GB"/>
        </w:rPr>
      </w:pPr>
      <w:r>
        <w:rPr>
          <w:sz w:val="22"/>
          <w:szCs w:val="22"/>
          <w:lang w:val="en-GB"/>
        </w:rPr>
        <w:t xml:space="preserve">a statement of the average annual manpower and the number of managerial staff of the economic operator for the last three years. </w:t>
      </w:r>
    </w:p>
    <w:p>
      <w:pPr>
        <w:pStyle w:val="Normal"/>
        <w:ind w:left="720"/>
        <w:jc w:val="both"/>
        <w:rPr>
          <w:b/>
          <w:sz w:val="22"/>
          <w:lang w:val="en-GB"/>
        </w:rPr>
      </w:pPr>
      <w:r>
        <w:rPr>
          <w:b/>
          <w:sz w:val="22"/>
          <w:lang w:val="en-GB"/>
        </w:rPr>
        <w:t>14.a</w:t>
        <w:tab/>
        <w:t>Economic and financial capacity of candidate:</w:t>
      </w:r>
    </w:p>
    <w:p>
      <w:pPr>
        <w:pStyle w:val="Normal"/>
        <w:numPr>
          <w:ilvl w:val="0"/>
          <w:numId w:val="3"/>
        </w:numPr>
        <w:jc w:val="both"/>
        <w:rPr>
          <w:sz w:val="22"/>
          <w:lang w:val="en-GB"/>
        </w:rPr>
      </w:pPr>
      <w:r>
        <w:rPr>
          <w:sz w:val="22"/>
          <w:lang w:val="en-GB"/>
        </w:rPr>
        <w:t xml:space="preserve">      </w:t>
      </w:r>
      <w:r>
        <w:rPr>
          <w:sz w:val="22"/>
          <w:lang w:val="en-GB"/>
        </w:rPr>
        <w:t>The average annual turnover of the tenderer in the past 3 years must be at least 300.000 EUR.</w:t>
      </w:r>
    </w:p>
    <w:p>
      <w:pPr>
        <w:pStyle w:val="Normal"/>
        <w:numPr>
          <w:ilvl w:val="0"/>
          <w:numId w:val="3"/>
        </w:numPr>
        <w:jc w:val="both"/>
        <w:rPr>
          <w:sz w:val="22"/>
          <w:lang w:val="en-GB"/>
        </w:rPr>
      </w:pPr>
      <w:r>
        <w:rPr>
          <w:sz w:val="22"/>
          <w:lang w:val="en-GB"/>
        </w:rPr>
        <w:t xml:space="preserve">      </w:t>
      </w:r>
      <w:r>
        <w:rPr>
          <w:sz w:val="22"/>
          <w:lang w:val="en-GB"/>
        </w:rPr>
        <w:t>The tenderer must have access to an amount of credit on 100.000 EUR (or same amount in national currency, the conversion to EUR shall be made in accordance with the applicable InforEuro exchange rate, corresponding to the deadline for submitting the offer).</w:t>
      </w:r>
    </w:p>
    <w:p>
      <w:pPr>
        <w:pStyle w:val="Normal"/>
        <w:ind w:left="709"/>
        <w:jc w:val="both"/>
        <w:rPr>
          <w:sz w:val="22"/>
          <w:lang w:val="en-GB"/>
        </w:rPr>
      </w:pPr>
      <w:r>
        <w:rPr>
          <w:sz w:val="22"/>
          <w:lang w:val="en-GB"/>
        </w:rPr>
        <w:t>The requirement under 14.a.i must be proven by financial statements (balance sheets/ profit &amp; loss statements/ cash flow statements) of the tenderer for the last 3 closed financial years (202</w:t>
      </w:r>
      <w:r>
        <w:rPr>
          <w:sz w:val="22"/>
          <w:lang w:val="mk-MK"/>
        </w:rPr>
        <w:t>2</w:t>
      </w:r>
      <w:r>
        <w:rPr>
          <w:sz w:val="22"/>
          <w:lang w:val="en-GB"/>
        </w:rPr>
        <w:t>, 202</w:t>
      </w:r>
      <w:r>
        <w:rPr>
          <w:sz w:val="22"/>
          <w:lang w:val="mk-MK"/>
        </w:rPr>
        <w:t>3</w:t>
      </w:r>
      <w:r>
        <w:rPr>
          <w:sz w:val="22"/>
          <w:lang w:val="en-GB"/>
        </w:rPr>
        <w:t xml:space="preserve"> &amp; 202</w:t>
      </w:r>
      <w:r>
        <w:rPr>
          <w:sz w:val="22"/>
          <w:lang w:val="mk-MK"/>
        </w:rPr>
        <w:t>4</w:t>
      </w:r>
      <w:r>
        <w:rPr>
          <w:sz w:val="22"/>
          <w:lang w:val="en-GB"/>
        </w:rPr>
        <w:t>).</w:t>
      </w:r>
    </w:p>
    <w:p>
      <w:pPr>
        <w:pStyle w:val="Normal"/>
        <w:ind w:left="709"/>
        <w:jc w:val="both"/>
        <w:rPr>
          <w:sz w:val="22"/>
          <w:lang w:val="en-GB"/>
        </w:rPr>
      </w:pPr>
      <w:r>
        <w:rPr>
          <w:sz w:val="22"/>
          <w:lang w:val="en-GB"/>
        </w:rPr>
        <w:t>The requirement under 14.a.ii must be proven by bank statement, issued in the name of the tenderer or any member of the consortium.</w:t>
      </w:r>
    </w:p>
    <w:p>
      <w:pPr>
        <w:pStyle w:val="Normal"/>
        <w:ind w:left="720"/>
        <w:jc w:val="both"/>
        <w:rPr>
          <w:b/>
          <w:sz w:val="22"/>
          <w:lang w:val="en-GB"/>
        </w:rPr>
      </w:pPr>
      <w:r>
        <w:rPr>
          <w:b/>
          <w:sz w:val="22"/>
          <w:lang w:val="en-GB"/>
        </w:rPr>
        <w:t>14.b</w:t>
        <w:tab/>
        <w:t>Technical and professional capacity of company.</w:t>
      </w:r>
    </w:p>
    <w:p>
      <w:pPr>
        <w:pStyle w:val="Normal"/>
        <w:numPr>
          <w:ilvl w:val="0"/>
          <w:numId w:val="6"/>
        </w:numPr>
        <w:jc w:val="both"/>
        <w:rPr>
          <w:sz w:val="22"/>
          <w:lang w:val="en-GB"/>
        </w:rPr>
      </w:pPr>
      <w:r>
        <w:rPr>
          <w:sz w:val="22"/>
          <w:lang w:val="en-GB"/>
        </w:rPr>
        <w:tab/>
        <w:t xml:space="preserve">it must have completed at least 1 project of the same nature/amount/complexity as the works </w:t>
      </w:r>
      <w:r>
        <w:rPr>
          <w:b/>
          <w:sz w:val="22"/>
          <w:lang w:val="en-GB"/>
        </w:rPr>
        <w:t>concerned</w:t>
      </w:r>
      <w:r>
        <w:rPr>
          <w:sz w:val="22"/>
          <w:lang w:val="en-GB"/>
        </w:rPr>
        <w:t xml:space="preserve"> by the tender and implemented during the following period: 5 years counting from the submission deadline.</w:t>
      </w:r>
    </w:p>
    <w:p>
      <w:pPr>
        <w:pStyle w:val="Normal"/>
        <w:numPr>
          <w:ilvl w:val="0"/>
          <w:numId w:val="6"/>
        </w:numPr>
        <w:jc w:val="both"/>
        <w:rPr>
          <w:sz w:val="22"/>
          <w:lang w:val="en-GB"/>
        </w:rPr>
      </w:pPr>
      <w:r>
        <w:rPr>
          <w:sz w:val="22"/>
          <w:lang w:val="en-GB"/>
        </w:rPr>
        <w:t xml:space="preserve">      </w:t>
      </w:r>
      <w:r>
        <w:rPr>
          <w:sz w:val="22"/>
          <w:lang w:val="en-GB"/>
        </w:rPr>
        <w:t>Contract/s for construction of adventure/adrenalin parks and surfaces using elements and props of large size will be considered as advantage.</w:t>
      </w:r>
    </w:p>
    <w:p>
      <w:pPr>
        <w:pStyle w:val="Normal"/>
        <w:numPr>
          <w:ilvl w:val="0"/>
          <w:numId w:val="6"/>
        </w:numPr>
        <w:jc w:val="both"/>
        <w:rPr>
          <w:sz w:val="22"/>
          <w:lang w:val="en-GB"/>
        </w:rPr>
      </w:pPr>
      <w:r>
        <w:rPr>
          <w:sz w:val="22"/>
          <w:lang w:val="en-GB"/>
        </w:rPr>
        <w:tab/>
        <w:t xml:space="preserve">The Tenderers must be a duly registered firm or natural person in accordance with the Law on Construction of the Republic of North Macedonia - Official Gazette No. 130/09, 124/10, 18/11, 36/11, 54/11, 13/12, 144/12, 25/13, 79/13, 137/13, 163/13, 27/14, 28/14, 42/14, 115/14, 149/14, 187/14, 44/15, 129/15, 217/15, 226/15, 30/16, 31/16, </w:t>
      </w:r>
      <w:r>
        <w:rPr>
          <w:sz w:val="22"/>
          <w:lang w:val="mk-MK"/>
        </w:rPr>
        <w:t>3</w:t>
      </w:r>
      <w:r>
        <w:rPr>
          <w:sz w:val="22"/>
          <w:lang w:val="en-GB"/>
        </w:rPr>
        <w:t>9/16, 71/16, 132/16, 35/18</w:t>
      </w:r>
      <w:r>
        <w:rPr>
          <w:sz w:val="22"/>
          <w:lang w:val="mk-MK"/>
        </w:rPr>
        <w:t>,</w:t>
      </w:r>
      <w:r>
        <w:rPr>
          <w:sz w:val="22"/>
          <w:lang w:val="en-GB"/>
        </w:rPr>
        <w:t xml:space="preserve"> 64/18, 168/18, 244/19, 18/20 and 279/20), approved to implement works of group II, or equivalent registration on the professional or trade register of the country in which he is established. If the selected contractor has equivalent registration on the professional or trade register of the country in which he is established, before signing the contract it must provide evidence that it is authorized for execution of works in Republic of North Macedonia in accordance with the Law on Construction.</w:t>
      </w:r>
    </w:p>
    <w:p>
      <w:pPr>
        <w:pStyle w:val="Normal"/>
        <w:ind w:left="709"/>
        <w:jc w:val="both"/>
        <w:rPr>
          <w:sz w:val="22"/>
          <w:lang w:val="en-GB"/>
        </w:rPr>
      </w:pPr>
      <w:r>
        <w:rPr>
          <w:sz w:val="22"/>
          <w:lang w:val="en-GB"/>
        </w:rPr>
        <w:t>The requirement under 14.b.ii must be proven by a copy of “Licence B” issued by the Ministry of transport or equivalent as per the legislation of the country of its headquarters’ registration.</w:t>
      </w:r>
    </w:p>
    <w:p>
      <w:pPr>
        <w:pStyle w:val="Normal"/>
        <w:ind w:left="720"/>
        <w:jc w:val="both"/>
        <w:rPr>
          <w:sz w:val="22"/>
          <w:lang w:val="en-GB"/>
        </w:rPr>
      </w:pPr>
      <w:r>
        <w:rPr>
          <w:sz w:val="22"/>
          <w:lang w:val="en-GB"/>
        </w:rPr>
        <w:t>If the candidate/tenderer is unable to provide the evidence requested for some exceptional reason which the contracting authority finds to be justified, it may prove its capacity by any other means which the contracting authority considers appropriate.</w:t>
      </w:r>
    </w:p>
    <w:p>
      <w:pPr>
        <w:pStyle w:val="Normal"/>
        <w:ind w:left="720"/>
        <w:jc w:val="both"/>
        <w:rPr>
          <w:sz w:val="22"/>
          <w:lang w:val="en-GB"/>
        </w:rPr>
      </w:pPr>
      <w:r>
        <w:rPr>
          <w:sz w:val="22"/>
          <w:lang w:val="en-GB"/>
        </w:rPr>
        <w:t xml:space="preserve">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 </w:t>
      </w:r>
    </w:p>
    <w:p>
      <w:pPr>
        <w:pStyle w:val="Normal"/>
        <w:ind w:left="720"/>
        <w:jc w:val="both"/>
        <w:rPr>
          <w:sz w:val="22"/>
          <w:lang w:val="en-GB"/>
        </w:rPr>
      </w:pPr>
      <w:r>
        <w:rPr>
          <w:sz w:val="22"/>
          <w:lang w:val="en-GB"/>
        </w:rPr>
        <w:t>Offers from tenderers who do not meet the selection criteria of this section shall be rejected by the Evaluation Committee.</w:t>
      </w:r>
    </w:p>
    <w:p>
      <w:pPr>
        <w:pStyle w:val="Normal"/>
        <w:ind w:hanging="284" w:left="1134"/>
        <w:jc w:val="both"/>
        <w:rPr>
          <w:sz w:val="22"/>
          <w:u w:val="single"/>
          <w:lang w:val="en-GB"/>
        </w:rPr>
      </w:pPr>
      <w:r>
        <w:rPr>
          <w:sz w:val="22"/>
          <w:u w:val="single"/>
          <w:lang w:val="en-GB"/>
        </w:rPr>
        <w:t>Capacity-providing entities:</w:t>
      </w:r>
    </w:p>
    <w:p>
      <w:pPr>
        <w:pStyle w:val="Normal"/>
        <w:ind w:left="720"/>
        <w:jc w:val="both"/>
        <w:rPr>
          <w:sz w:val="22"/>
          <w:lang w:val="en-GB"/>
        </w:rPr>
      </w:pPr>
      <w:r>
        <w:rPr>
          <w:sz w:val="22"/>
          <w:lang w:val="en-GB"/>
        </w:rPr>
        <w:t xml:space="preserve">An economic operator may, where appropriate and for a particular contract, rely on the capacities of other entities, regardless of the legal nature of the links which it has with them. If the tenderer relies on other entities, it must </w:t>
      </w:r>
      <w:r>
        <w:rPr>
          <w:sz w:val="22"/>
          <w:szCs w:val="22"/>
          <w:lang w:val="en-GB"/>
        </w:rPr>
        <w:t>in that case</w:t>
      </w:r>
      <w:r>
        <w:rPr>
          <w:sz w:val="22"/>
          <w:lang w:val="en-GB"/>
        </w:rPr>
        <w:t xml:space="preserve"> prove to the contracting authority that it will have at its disposal the resources necessary for the performance of the contract by producing a commitment by those entities to place resources at its disposal. Such entities, for instance the parent company of the economic operator, must respect the same rules of eligibility and notably that of nationality as the economic operator relying on them and must fulfil with the selection criteria for which the economic operator relies on them. </w:t>
      </w:r>
      <w:r>
        <w:rPr>
          <w:b/>
          <w:sz w:val="22"/>
          <w:szCs w:val="22"/>
          <w:lang w:val="en-GB"/>
        </w:rPr>
        <w:t>Furthermore, the data for this third entity for the relevant selection criterion should not be included in the tender form but in a separate document</w:t>
      </w:r>
      <w:r>
        <w:rPr>
          <w:sz w:val="22"/>
          <w:lang w:val="en-GB"/>
        </w:rPr>
        <w:t xml:space="preserve">. Proof of capacity must be provided at the request of the contracting authority.  </w:t>
      </w:r>
    </w:p>
    <w:p>
      <w:pPr>
        <w:pStyle w:val="Normal"/>
        <w:ind w:left="720"/>
        <w:jc w:val="both"/>
        <w:rPr>
          <w:sz w:val="22"/>
          <w:lang w:val="en-GB"/>
        </w:rPr>
      </w:pPr>
      <w:r>
        <w:rPr>
          <w:sz w:val="22"/>
          <w:lang w:val="en-GB"/>
        </w:rPr>
        <w:t>With regard to technical and professional criteria, a tenderer may only rely on the capacities of other entities where the latter will perform the works for which these capacities are required.</w:t>
      </w:r>
    </w:p>
    <w:p>
      <w:pPr>
        <w:pStyle w:val="Normal"/>
        <w:ind w:left="720"/>
        <w:jc w:val="both"/>
        <w:rPr>
          <w:sz w:val="22"/>
          <w:highlight w:val="yellow"/>
          <w:lang w:val="en-GB"/>
        </w:rPr>
      </w:pPr>
      <w:r>
        <w:rPr>
          <w:sz w:val="22"/>
          <w:lang w:val="en-GB"/>
        </w:rPr>
        <w:t>With regard to economic and financial criteria, the entities upon whose capacity the tenderer relies, become jointly and severally liable for the performance of the contract.</w:t>
      </w:r>
    </w:p>
    <w:p>
      <w:pPr>
        <w:pStyle w:val="Normal"/>
        <w:ind w:left="709"/>
        <w:jc w:val="both"/>
        <w:rPr>
          <w:sz w:val="22"/>
          <w:lang w:val="en-GB"/>
        </w:rPr>
      </w:pPr>
      <w:r>
        <w:rPr>
          <w:sz w:val="22"/>
          <w:lang w:val="en-GB"/>
        </w:rPr>
        <w:t xml:space="preserve">Financial data to be provided by the tenderer in relation to the selection criteria must be expressed in EUR. </w:t>
      </w:r>
    </w:p>
    <w:p>
      <w:pPr>
        <w:pStyle w:val="PRAGHeading2"/>
        <w:numPr>
          <w:ilvl w:val="0"/>
          <w:numId w:val="2"/>
        </w:numPr>
        <w:jc w:val="both"/>
        <w:rPr>
          <w:rStyle w:val="Strong"/>
          <w:sz w:val="22"/>
          <w:szCs w:val="22"/>
          <w:lang w:val="en-GB"/>
        </w:rPr>
      </w:pPr>
      <w:r>
        <w:rPr>
          <w:rStyle w:val="Strong"/>
          <w:sz w:val="22"/>
          <w:szCs w:val="22"/>
          <w:lang w:val="en-GB"/>
        </w:rPr>
        <w:t>Award criteria</w:t>
      </w:r>
    </w:p>
    <w:p>
      <w:pPr>
        <w:pStyle w:val="Normal"/>
        <w:ind w:left="426"/>
        <w:jc w:val="both"/>
        <w:rPr>
          <w:sz w:val="22"/>
          <w:lang w:val="en-GB"/>
        </w:rPr>
      </w:pPr>
      <w:r>
        <w:rPr>
          <w:sz w:val="22"/>
          <w:lang w:val="en-GB"/>
        </w:rPr>
        <w:t xml:space="preserve">The sole award criterion will be the price: the most economically advantageous tender is the technically compliant tender with the lowest price. </w:t>
      </w:r>
    </w:p>
    <w:p>
      <w:pPr>
        <w:pStyle w:val="Normal"/>
        <w:jc w:val="both"/>
        <w:rPr>
          <w:sz w:val="22"/>
          <w:szCs w:val="22"/>
          <w:lang w:val="en-GB"/>
        </w:rPr>
      </w:pPr>
      <w:r>
        <w:rPr>
          <w:sz w:val="22"/>
          <w:szCs w:val="22"/>
          <w:lang w:val="en-GB"/>
        </w:rPr>
        <mc:AlternateContent>
          <mc:Choice Requires="wps">
            <w:drawing>
              <wp:anchor behindDoc="0" distT="0" distB="0" distL="114300" distR="114300" simplePos="0" locked="0" layoutInCell="1" allowOverlap="1" relativeHeight="3">
                <wp:simplePos x="0" y="0"/>
                <wp:positionH relativeFrom="column">
                  <wp:posOffset>0</wp:posOffset>
                </wp:positionH>
                <wp:positionV relativeFrom="paragraph">
                  <wp:posOffset>152400</wp:posOffset>
                </wp:positionV>
                <wp:extent cx="5943600" cy="635"/>
                <wp:effectExtent l="11430" t="11430" r="11430" b="11430"/>
                <wp:wrapNone/>
                <wp:docPr id="5" name=""/>
                <a:graphic xmlns:a="http://schemas.openxmlformats.org/drawingml/2006/main">
                  <a:graphicData uri="http://schemas.microsoft.com/office/word/2010/wordprocessingShape">
                    <wps:wsp>
                      <wps:cNvSpPr/>
                      <wps:spPr>
                        <a:xfrm>
                          <a:off x="0" y="0"/>
                          <a:ext cx="5943600" cy="720"/>
                        </a:xfrm>
                        <a:prstGeom prst="line">
                          <a:avLst/>
                        </a:prstGeom>
                        <a:ln w="22320">
                          <a:solidFill>
                            <a:srgbClr val="d4d4d4"/>
                          </a:solidFill>
                          <a:round/>
                        </a:ln>
                      </wps:spPr>
                      <wps:style>
                        <a:lnRef idx="0"/>
                        <a:fillRef idx="0"/>
                        <a:effectRef idx="0"/>
                        <a:fontRef idx="minor"/>
                      </wps:style>
                      <wps:bodyPr/>
                    </wps:wsp>
                  </a:graphicData>
                </a:graphic>
              </wp:anchor>
            </w:drawing>
          </mc:Choice>
          <mc:Fallback>
            <w:pict>
              <v:line id="shape_0" from="0pt,12pt" to="467.95pt,12pt" stroked="t" o:allowincell="f" style="position:absolute">
                <v:stroke color="#d4d4d4" weight="22320" joinstyle="round" endcap="flat"/>
                <v:fill o:detectmouseclick="t" on="false"/>
                <w10:wrap type="none"/>
              </v:line>
            </w:pict>
          </mc:Fallback>
        </mc:AlternateContent>
      </w:r>
    </w:p>
    <w:p>
      <w:pPr>
        <w:pStyle w:val="Normal"/>
        <w:ind w:left="360"/>
        <w:jc w:val="both"/>
        <w:rPr>
          <w:rStyle w:val="Strong"/>
          <w:sz w:val="22"/>
          <w:szCs w:val="22"/>
          <w:lang w:val="en-GB"/>
        </w:rPr>
      </w:pPr>
      <w:r>
        <w:rPr>
          <w:sz w:val="22"/>
          <w:szCs w:val="22"/>
          <w:lang w:val="en-GB"/>
        </w:rPr>
      </w:r>
    </w:p>
    <w:p>
      <w:pPr>
        <w:pStyle w:val="Normal"/>
        <w:ind w:left="360"/>
        <w:jc w:val="both"/>
        <w:rPr>
          <w:rStyle w:val="Strong"/>
          <w:sz w:val="22"/>
          <w:szCs w:val="22"/>
          <w:lang w:val="en-GB"/>
        </w:rPr>
      </w:pPr>
      <w:r>
        <w:rPr>
          <w:rStyle w:val="Strong"/>
          <w:sz w:val="22"/>
          <w:szCs w:val="22"/>
          <w:lang w:val="en-GB"/>
        </w:rPr>
        <w:t>TENDERING</w:t>
      </w:r>
    </w:p>
    <w:p>
      <w:pPr>
        <w:pStyle w:val="PRAGHeading2"/>
        <w:numPr>
          <w:ilvl w:val="0"/>
          <w:numId w:val="2"/>
        </w:numPr>
        <w:jc w:val="both"/>
        <w:rPr>
          <w:rStyle w:val="Strong"/>
          <w:sz w:val="22"/>
          <w:szCs w:val="22"/>
          <w:lang w:val="en-GB"/>
        </w:rPr>
      </w:pPr>
      <w:r>
        <w:rPr>
          <w:rStyle w:val="Strong"/>
          <w:sz w:val="22"/>
          <w:szCs w:val="22"/>
          <w:lang w:val="en-GB"/>
        </w:rPr>
        <w:t xml:space="preserve">Ethics clauses </w:t>
      </w:r>
    </w:p>
    <w:p>
      <w:pPr>
        <w:pStyle w:val="PRAGHeading2"/>
        <w:numPr>
          <w:ilvl w:val="0"/>
          <w:numId w:val="0"/>
        </w:numPr>
        <w:ind w:hanging="0" w:left="720"/>
        <w:jc w:val="both"/>
        <w:rPr>
          <w:rStyle w:val="Strong"/>
          <w:b w:val="false"/>
          <w:sz w:val="22"/>
          <w:szCs w:val="22"/>
          <w:lang w:val="en-GB"/>
        </w:rPr>
      </w:pPr>
      <w:r>
        <w:rPr>
          <w:rStyle w:val="Strong"/>
          <w:b w:val="false"/>
          <w:sz w:val="22"/>
          <w:szCs w:val="22"/>
          <w:lang w:val="en-GB"/>
        </w:rPr>
        <w:t xml:space="preserve">The tenderers are subject to the ethics clauses, detailed in Section 2.5.6. of the practical guide. </w:t>
      </w:r>
    </w:p>
    <w:p>
      <w:pPr>
        <w:pStyle w:val="Normal"/>
        <w:spacing w:before="80" w:after="100"/>
        <w:ind w:left="709"/>
        <w:rPr>
          <w:iCs/>
          <w:sz w:val="22"/>
          <w:szCs w:val="22"/>
          <w:lang w:val="en-IE"/>
        </w:rPr>
      </w:pPr>
      <w:r>
        <w:rPr>
          <w:iCs/>
          <w:sz w:val="22"/>
          <w:szCs w:val="22"/>
          <w:lang w:val="en-IE"/>
        </w:rPr>
        <w:t>Interreg VI-A IPA Bulgaria - North Macedonia Programme, approved with Commission Implementing Decision C(2022) 8880 of 29.11.2022.</w:t>
      </w:r>
    </w:p>
    <w:p>
      <w:pPr>
        <w:pStyle w:val="Normal"/>
        <w:spacing w:before="80" w:after="100"/>
        <w:ind w:left="709"/>
        <w:rPr>
          <w:rStyle w:val="Strong"/>
          <w:b w:val="false"/>
          <w:iCs/>
          <w:sz w:val="22"/>
          <w:szCs w:val="22"/>
          <w:lang w:val="en-IE"/>
        </w:rPr>
      </w:pPr>
      <w:r>
        <w:rPr>
          <w:b w:val="false"/>
          <w:iCs/>
          <w:sz w:val="22"/>
          <w:szCs w:val="22"/>
          <w:lang w:val="en-IE"/>
        </w:rPr>
      </w:r>
    </w:p>
    <w:p>
      <w:pPr>
        <w:pStyle w:val="PRAGHeading2"/>
        <w:numPr>
          <w:ilvl w:val="0"/>
          <w:numId w:val="2"/>
        </w:numPr>
        <w:jc w:val="both"/>
        <w:rPr>
          <w:rStyle w:val="Strong"/>
          <w:sz w:val="22"/>
          <w:szCs w:val="22"/>
          <w:lang w:val="en-GB"/>
        </w:rPr>
      </w:pPr>
      <w:r>
        <w:rPr>
          <w:rStyle w:val="Strong"/>
          <w:sz w:val="22"/>
          <w:szCs w:val="22"/>
          <w:lang w:val="en-GB"/>
        </w:rPr>
        <w:t>Appeals</w:t>
      </w:r>
    </w:p>
    <w:p>
      <w:pPr>
        <w:pStyle w:val="Normal"/>
        <w:ind w:left="709"/>
        <w:jc w:val="both"/>
        <w:rPr>
          <w:sz w:val="22"/>
          <w:szCs w:val="22"/>
          <w:lang w:val="en-GB"/>
        </w:rPr>
      </w:pPr>
      <w:r>
        <w:rPr>
          <w:sz w:val="22"/>
          <w:szCs w:val="22"/>
          <w:lang w:val="en-GB" w:eastAsia="en-GB"/>
        </w:rPr>
        <w:t>Tenderers believing that they have been harmed by an error or irregularity during the award process may file a complaint. See further Section 2.12. of the practical guide.</w:t>
      </w:r>
    </w:p>
    <w:p>
      <w:pPr>
        <w:pStyle w:val="PRAGHeading2"/>
        <w:numPr>
          <w:ilvl w:val="0"/>
          <w:numId w:val="2"/>
        </w:numPr>
        <w:jc w:val="both"/>
        <w:rPr>
          <w:b/>
          <w:sz w:val="22"/>
          <w:szCs w:val="22"/>
          <w:lang w:val="en-GB"/>
        </w:rPr>
      </w:pPr>
      <w:r>
        <w:rPr>
          <w:b/>
          <w:sz w:val="22"/>
          <w:szCs w:val="22"/>
          <w:lang w:val="en-GB"/>
        </w:rPr>
        <w:t>Early detection and exclusion system</w:t>
      </w:r>
    </w:p>
    <w:p>
      <w:pPr>
        <w:pStyle w:val="Normal"/>
        <w:spacing w:before="100" w:after="100"/>
        <w:ind w:left="709"/>
        <w:jc w:val="both"/>
        <w:rPr>
          <w:sz w:val="22"/>
          <w:szCs w:val="22"/>
          <w:lang w:val="en-GB"/>
        </w:rPr>
      </w:pPr>
      <w:r>
        <w:rPr>
          <w:sz w:val="22"/>
          <w:szCs w:val="22"/>
          <w:lang w:val="en-GB"/>
        </w:rPr>
        <w:t>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detection and exclusion system (EDES)  and communicated to the persons and entities concerned in relation to the award or the execution of a procurement contract.</w:t>
      </w:r>
    </w:p>
    <w:sectPr>
      <w:footerReference w:type="even" r:id="rId2"/>
      <w:footerReference w:type="default" r:id="rId3"/>
      <w:footerReference w:type="first" r:id="rId4"/>
      <w:footnotePr>
        <w:numFmt w:val="decimal"/>
      </w:footnotePr>
      <w:type w:val="nextPage"/>
      <w:pgSz w:w="12240" w:h="15840"/>
      <w:pgMar w:left="1440" w:right="1440" w:gutter="0" w:header="0" w:top="1440" w:footer="618" w:bottom="1170"/>
      <w:pgNumType w:fmt="decimal"/>
      <w:formProt w:val="false"/>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Times New Roman Bold">
    <w:charset w:val="cc"/>
    <w:family w:val="roman"/>
    <w:pitch w:val="variable"/>
  </w:font>
  <w:font w:name="Calibri">
    <w:charset w:val="cc"/>
    <w:family w:val="swiss"/>
    <w:pitch w:val="variable"/>
  </w:font>
  <w:font w:name="Arial">
    <w:charset w:val="cc"/>
    <w:family w:val="swiss"/>
    <w:pitch w:val="variable"/>
  </w:font>
  <w:font w:name="Cambria">
    <w:charset w:val="cc"/>
    <w:family w:val="roman"/>
    <w:pitch w:val="variable"/>
  </w:font>
  <w:font w:name="Courier New">
    <w:charset w:val="cc"/>
    <w:family w:val="roman"/>
    <w:pitch w:val="variable"/>
  </w:font>
  <w:font w:name="Liberation Sans">
    <w:altName w:val="Arial"/>
    <w:charset w:val="cc"/>
    <w:family w:val="swiss"/>
    <w:pitch w:val="variable"/>
  </w:font>
  <w:font w:name="Tahoma">
    <w:charset w:val="cc"/>
    <w:family w:val="swiss"/>
    <w:pitch w:val="variable"/>
  </w:font>
  <w:font w:name="Minion Pro">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100" w:after="10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lear" w:pos="4536"/>
        <w:tab w:val="clear" w:pos="9072"/>
        <w:tab w:val="right" w:pos="9356" w:leader="none"/>
      </w:tabs>
      <w:spacing w:before="0" w:after="0"/>
      <w:rPr>
        <w:rStyle w:val="PageNumber"/>
        <w:sz w:val="18"/>
        <w:szCs w:val="18"/>
        <w:lang w:val="en-GB"/>
      </w:rPr>
    </w:pPr>
    <w:r>
      <w:rPr>
        <w:b/>
        <w:sz w:val="18"/>
        <w:lang w:val="en-IE"/>
      </w:rPr>
      <w:t>2025</w:t>
    </w:r>
    <w:r>
      <w:rPr>
        <w:sz w:val="18"/>
        <w:szCs w:val="18"/>
        <w:lang w:val="en-GB"/>
      </w:rPr>
      <w:tab/>
      <w:t xml:space="preserve">Page </w:t>
    </w:r>
    <w:r>
      <w:rPr>
        <w:rStyle w:val="PageNumber"/>
        <w:sz w:val="18"/>
        <w:szCs w:val="18"/>
      </w:rPr>
      <w:fldChar w:fldCharType="begin"/>
    </w:r>
    <w:r>
      <w:rPr>
        <w:rStyle w:val="PageNumber"/>
        <w:sz w:val="18"/>
        <w:szCs w:val="18"/>
      </w:rPr>
      <w:instrText xml:space="preserve"> PAGE </w:instrText>
    </w:r>
    <w:r>
      <w:rPr>
        <w:rStyle w:val="PageNumber"/>
        <w:sz w:val="18"/>
        <w:szCs w:val="18"/>
      </w:rPr>
      <w:fldChar w:fldCharType="separate"/>
    </w:r>
    <w:r>
      <w:rPr>
        <w:rStyle w:val="PageNumber"/>
        <w:sz w:val="18"/>
        <w:szCs w:val="18"/>
      </w:rPr>
      <w:t>6</w:t>
    </w:r>
    <w:r>
      <w:rPr>
        <w:rStyle w:val="PageNumber"/>
        <w:sz w:val="18"/>
        <w:szCs w:val="18"/>
      </w:rPr>
      <w:fldChar w:fldCharType="end"/>
    </w:r>
    <w:r>
      <w:rPr>
        <w:rStyle w:val="PageNumber"/>
        <w:sz w:val="18"/>
        <w:szCs w:val="18"/>
        <w:lang w:val="en-GB"/>
      </w:rPr>
      <w:t xml:space="preserve"> of </w:t>
    </w:r>
    <w:r>
      <w:rPr>
        <w:rStyle w:val="PageNumber"/>
        <w:sz w:val="18"/>
        <w:szCs w:val="18"/>
      </w:rPr>
      <w:fldChar w:fldCharType="begin"/>
    </w:r>
    <w:r>
      <w:rPr>
        <w:rStyle w:val="PageNumber"/>
        <w:sz w:val="18"/>
        <w:szCs w:val="18"/>
      </w:rPr>
      <w:instrText xml:space="preserve"> NUMPAGES </w:instrText>
    </w:r>
    <w:r>
      <w:rPr>
        <w:rStyle w:val="PageNumber"/>
        <w:sz w:val="18"/>
        <w:szCs w:val="18"/>
      </w:rPr>
      <w:fldChar w:fldCharType="separate"/>
    </w:r>
    <w:r>
      <w:rPr>
        <w:rStyle w:val="PageNumber"/>
        <w:sz w:val="18"/>
        <w:szCs w:val="18"/>
      </w:rPr>
      <w:t>6</w:t>
    </w:r>
    <w:r>
      <w:rPr>
        <w:rStyle w:val="PageNumber"/>
        <w:sz w:val="18"/>
        <w:szCs w:val="18"/>
      </w:rPr>
      <w:fldChar w:fldCharType="end"/>
    </w:r>
  </w:p>
  <w:p>
    <w:pPr>
      <w:pStyle w:val="Footer"/>
      <w:tabs>
        <w:tab w:val="clear" w:pos="4536"/>
        <w:tab w:val="clear" w:pos="9072"/>
        <w:tab w:val="right" w:pos="9356" w:leader="none"/>
      </w:tabs>
      <w:spacing w:before="0" w:after="0"/>
      <w:rPr>
        <w:sz w:val="18"/>
        <w:szCs w:val="18"/>
        <w:lang w:val="en-GB"/>
      </w:rPr>
    </w:pPr>
    <w:r>
      <w:rPr>
        <w:sz w:val="18"/>
        <w:szCs w:val="18"/>
        <w:lang w:val="fr-BE"/>
      </w:rPr>
      <w:fldChar w:fldCharType="begin"/>
    </w:r>
    <w:r>
      <w:rPr>
        <w:sz w:val="18"/>
        <w:szCs w:val="18"/>
        <w:lang w:val="fr-BE"/>
      </w:rPr>
      <w:instrText xml:space="preserve"> FILENAME </w:instrText>
    </w:r>
    <w:r>
      <w:rPr>
        <w:sz w:val="18"/>
        <w:szCs w:val="18"/>
        <w:lang w:val="fr-BE"/>
      </w:rPr>
      <w:fldChar w:fldCharType="separate"/>
    </w:r>
    <w:r>
      <w:rPr>
        <w:sz w:val="18"/>
        <w:szCs w:val="18"/>
        <w:lang w:val="fr-BE"/>
      </w:rPr>
      <w:t>ds2_contractnotice_simpl_neg_en.docx</w:t>
    </w:r>
    <w:r>
      <w:rPr>
        <w:sz w:val="18"/>
        <w:szCs w:val="18"/>
        <w:lang w:val="fr-BE"/>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lear" w:pos="4536"/>
        <w:tab w:val="clear" w:pos="9072"/>
        <w:tab w:val="right" w:pos="9356" w:leader="none"/>
      </w:tabs>
      <w:spacing w:before="0" w:after="0"/>
      <w:rPr>
        <w:rStyle w:val="PageNumber"/>
        <w:sz w:val="18"/>
        <w:szCs w:val="18"/>
        <w:lang w:val="en-GB"/>
      </w:rPr>
    </w:pPr>
    <w:r>
      <w:rPr>
        <w:b/>
        <w:sz w:val="18"/>
        <w:lang w:val="en-IE"/>
      </w:rPr>
      <w:t>2025</w:t>
    </w:r>
    <w:r>
      <w:rPr>
        <w:sz w:val="18"/>
        <w:szCs w:val="18"/>
        <w:lang w:val="en-GB"/>
      </w:rPr>
      <w:tab/>
      <w:t xml:space="preserve">Page </w:t>
    </w:r>
    <w:r>
      <w:rPr>
        <w:rStyle w:val="PageNumber"/>
        <w:sz w:val="18"/>
        <w:szCs w:val="18"/>
      </w:rPr>
      <w:fldChar w:fldCharType="begin"/>
    </w:r>
    <w:r>
      <w:rPr>
        <w:rStyle w:val="PageNumber"/>
        <w:sz w:val="18"/>
        <w:szCs w:val="18"/>
      </w:rPr>
      <w:instrText xml:space="preserve"> PAGE </w:instrText>
    </w:r>
    <w:r>
      <w:rPr>
        <w:rStyle w:val="PageNumber"/>
        <w:sz w:val="18"/>
        <w:szCs w:val="18"/>
      </w:rPr>
      <w:fldChar w:fldCharType="separate"/>
    </w:r>
    <w:r>
      <w:rPr>
        <w:rStyle w:val="PageNumber"/>
        <w:sz w:val="18"/>
        <w:szCs w:val="18"/>
      </w:rPr>
      <w:t>6</w:t>
    </w:r>
    <w:r>
      <w:rPr>
        <w:rStyle w:val="PageNumber"/>
        <w:sz w:val="18"/>
        <w:szCs w:val="18"/>
      </w:rPr>
      <w:fldChar w:fldCharType="end"/>
    </w:r>
    <w:r>
      <w:rPr>
        <w:rStyle w:val="PageNumber"/>
        <w:sz w:val="18"/>
        <w:szCs w:val="18"/>
        <w:lang w:val="en-GB"/>
      </w:rPr>
      <w:t xml:space="preserve"> of </w:t>
    </w:r>
    <w:r>
      <w:rPr>
        <w:rStyle w:val="PageNumber"/>
        <w:sz w:val="18"/>
        <w:szCs w:val="18"/>
      </w:rPr>
      <w:fldChar w:fldCharType="begin"/>
    </w:r>
    <w:r>
      <w:rPr>
        <w:rStyle w:val="PageNumber"/>
        <w:sz w:val="18"/>
        <w:szCs w:val="18"/>
      </w:rPr>
      <w:instrText xml:space="preserve"> NUMPAGES </w:instrText>
    </w:r>
    <w:r>
      <w:rPr>
        <w:rStyle w:val="PageNumber"/>
        <w:sz w:val="18"/>
        <w:szCs w:val="18"/>
      </w:rPr>
      <w:fldChar w:fldCharType="separate"/>
    </w:r>
    <w:r>
      <w:rPr>
        <w:rStyle w:val="PageNumber"/>
        <w:sz w:val="18"/>
        <w:szCs w:val="18"/>
      </w:rPr>
      <w:t>6</w:t>
    </w:r>
    <w:r>
      <w:rPr>
        <w:rStyle w:val="PageNumber"/>
        <w:sz w:val="18"/>
        <w:szCs w:val="18"/>
      </w:rPr>
      <w:fldChar w:fldCharType="end"/>
    </w:r>
  </w:p>
  <w:p>
    <w:pPr>
      <w:pStyle w:val="Footer"/>
      <w:tabs>
        <w:tab w:val="clear" w:pos="4536"/>
        <w:tab w:val="clear" w:pos="9072"/>
        <w:tab w:val="right" w:pos="9356" w:leader="none"/>
      </w:tabs>
      <w:spacing w:before="0" w:after="0"/>
      <w:rPr>
        <w:sz w:val="18"/>
        <w:szCs w:val="18"/>
        <w:lang w:val="en-GB"/>
      </w:rPr>
    </w:pPr>
    <w:r>
      <w:rPr>
        <w:sz w:val="18"/>
        <w:szCs w:val="18"/>
        <w:lang w:val="fr-BE"/>
      </w:rPr>
      <w:fldChar w:fldCharType="begin"/>
    </w:r>
    <w:r>
      <w:rPr>
        <w:sz w:val="18"/>
        <w:szCs w:val="18"/>
        <w:lang w:val="fr-BE"/>
      </w:rPr>
      <w:instrText xml:space="preserve"> FILENAME </w:instrText>
    </w:r>
    <w:r>
      <w:rPr>
        <w:sz w:val="18"/>
        <w:szCs w:val="18"/>
        <w:lang w:val="fr-BE"/>
      </w:rPr>
      <w:fldChar w:fldCharType="separate"/>
    </w:r>
    <w:r>
      <w:rPr>
        <w:sz w:val="18"/>
        <w:szCs w:val="18"/>
        <w:lang w:val="fr-BE"/>
      </w:rPr>
      <w:t>ds2_contractnotice_simpl_neg_en.docx</w:t>
    </w:r>
    <w:r>
      <w:rPr>
        <w:sz w:val="18"/>
        <w:szCs w:val="18"/>
        <w:lang w:val="fr-BE"/>
      </w:rP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r>
        <w:separator/>
      </w:r>
    </w:p>
  </w:footnote>
  <w:footnote w:id="1" w:type="continuationSeparator">
    <w:p>
      <w:r>
        <w:continuationSeparator/>
      </w:r>
    </w:p>
  </w:footnote>
  <w:footnote w:id="2">
    <w:p>
      <w:pPr>
        <w:pStyle w:val="Normal"/>
        <w:spacing w:before="100" w:after="100"/>
        <w:rPr>
          <w:sz w:val="18"/>
          <w:szCs w:val="18"/>
          <w:lang w:val="en-US"/>
        </w:rPr>
      </w:pPr>
      <w:r>
        <w:rPr>
          <w:rStyle w:val="FootnoteCharacters"/>
        </w:rPr>
        <w:footnoteRef/>
      </w:r>
      <w:r>
        <w:rPr>
          <w:lang w:val="en-IE"/>
        </w:rPr>
        <w:t xml:space="preserve"> </w:t>
      </w:r>
      <w:r>
        <w:rPr>
          <w:sz w:val="18"/>
          <w:szCs w:val="18"/>
          <w:lang w:val="en-IE"/>
        </w:rPr>
        <w:t>Please note that the EU Official Journal contains the official list of entities subject to restrictive measures and, in case of conflict, it prevails over the list of the </w:t>
      </w:r>
      <w:hyperlink r:id="rId1" w:anchor="/main" w:tgtFrame="_blank">
        <w:r>
          <w:rPr>
            <w:rStyle w:val="Hyperlink"/>
            <w:i/>
            <w:iCs/>
            <w:sz w:val="18"/>
            <w:szCs w:val="18"/>
            <w:lang w:val="en-IE"/>
          </w:rPr>
          <w:t>EU Sanctions Map</w:t>
        </w:r>
      </w:hyperlink>
      <w:r>
        <w:rPr>
          <w:sz w:val="18"/>
          <w:szCs w:val="18"/>
          <w:lang w:val="en-IE"/>
        </w:rPr>
        <w:t>.</w:t>
      </w:r>
    </w:p>
    <w:p>
      <w:pPr>
        <w:pStyle w:val="FootnoteText"/>
        <w:rPr>
          <w:lang w:val="en-US"/>
        </w:rPr>
      </w:pPr>
      <w:r>
        <w:rPr/>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none"/>
      <w:suff w:val="nothing"/>
      <w:lvlText w:val="%1"/>
      <w:lvlJc w:val="left"/>
      <w:pPr>
        <w:tabs>
          <w:tab w:val="num" w:pos="0"/>
        </w:tabs>
        <w:ind w:left="0" w:hanging="0"/>
      </w:pPr>
      <w:rPr>
        <w:smallCaps w:val="false"/>
        <w:caps w:val="false"/>
        <w:outline w:val="false"/>
        <w:dstrike w:val="false"/>
        <w:strike w:val="false"/>
        <w:vertAlign w:val="baseline"/>
        <w:position w:val="0"/>
        <w:sz w:val="32"/>
        <w:sz w:val="32"/>
        <w:i w:val="false"/>
        <w:shadow w:val="false"/>
        <w:b/>
        <w:emboss w:val="false"/>
        <w:imprint w:val="false"/>
        <w:vanish w:val="false"/>
        <w:rFonts w:ascii="Times New Roman Bold" w:hAnsi="Times New Roman Bold"/>
      </w:rPr>
    </w:lvl>
    <w:lvl w:ilvl="1">
      <w:start w:val="1"/>
      <w:pStyle w:val="Heading2"/>
      <w:numFmt w:val="decimal"/>
      <w:lvlText w:val="%1%2."/>
      <w:lvlJc w:val="left"/>
      <w:pPr>
        <w:tabs>
          <w:tab w:val="num" w:pos="0"/>
        </w:tabs>
        <w:ind w:left="576" w:hanging="576"/>
      </w:pPr>
      <w:rPr>
        <w:smallCaps w:val="false"/>
        <w:caps w:val="false"/>
        <w:outline w:val="false"/>
        <w:dstrike w:val="false"/>
        <w:strike w:val="false"/>
        <w:vertAlign w:val="baseline"/>
        <w:position w:val="0"/>
        <w:sz w:val="22"/>
        <w:sz w:val="22"/>
        <w:i w:val="false"/>
        <w:shadow w:val="false"/>
        <w:b/>
        <w:emboss w:val="false"/>
        <w:imprint w:val="false"/>
        <w:vanish w:val="false"/>
        <w:rFonts w:ascii="Times New Roman Bold" w:hAnsi="Times New Roman Bold"/>
      </w:rPr>
    </w:lvl>
    <w:lvl w:ilvl="2">
      <w:start w:val="1"/>
      <w:pStyle w:val="Heading3"/>
      <w:numFmt w:val="decimal"/>
      <w:lvlText w:val="%1%2.%3."/>
      <w:lvlJc w:val="left"/>
      <w:pPr>
        <w:tabs>
          <w:tab w:val="num" w:pos="0"/>
        </w:tabs>
        <w:ind w:left="720" w:hanging="720"/>
      </w:pPr>
      <w:rPr>
        <w:i w:val="false"/>
        <w:b w:val="false"/>
      </w:rPr>
    </w:lvl>
    <w:lvl w:ilvl="3">
      <w:start w:val="1"/>
      <w:pStyle w:val="Heading4"/>
      <w:numFmt w:val="decimal"/>
      <w:lvlText w:val="%1%2.%3.%4."/>
      <w:lvlJc w:val="left"/>
      <w:pPr>
        <w:tabs>
          <w:tab w:val="num" w:pos="1418"/>
        </w:tabs>
        <w:ind w:left="1418" w:hanging="851"/>
      </w:pPr>
      <w:rPr/>
    </w:lvl>
    <w:lvl w:ilvl="4">
      <w:start w:val="1"/>
      <w:pStyle w:val="Heading5"/>
      <w:numFmt w:val="decimal"/>
      <w:lvlText w:val="%1%2.%3.%4.%5"/>
      <w:lvlJc w:val="left"/>
      <w:pPr>
        <w:tabs>
          <w:tab w:val="num" w:pos="0"/>
        </w:tabs>
        <w:ind w:left="1008" w:hanging="1008"/>
      </w:pPr>
      <w:rPr/>
    </w:lvl>
    <w:lvl w:ilvl="5">
      <w:start w:val="1"/>
      <w:pStyle w:val="Heading6"/>
      <w:numFmt w:val="decimal"/>
      <w:lvlText w:val="%1%2.%3.%4.%5.%6"/>
      <w:lvlJc w:val="left"/>
      <w:pPr>
        <w:tabs>
          <w:tab w:val="num" w:pos="0"/>
        </w:tabs>
        <w:ind w:left="1152" w:hanging="1152"/>
      </w:pPr>
      <w:rPr/>
    </w:lvl>
    <w:lvl w:ilvl="6">
      <w:start w:val="1"/>
      <w:pStyle w:val="Heading7"/>
      <w:numFmt w:val="decimal"/>
      <w:lvlText w:val="%1%2.%3.%4.%5.%6.%7"/>
      <w:lvlJc w:val="left"/>
      <w:pPr>
        <w:tabs>
          <w:tab w:val="num" w:pos="0"/>
        </w:tabs>
        <w:ind w:left="1296" w:hanging="1296"/>
      </w:pPr>
      <w:rPr/>
    </w:lvl>
    <w:lvl w:ilvl="7">
      <w:start w:val="1"/>
      <w:pStyle w:val="Heading8"/>
      <w:numFmt w:val="decimal"/>
      <w:lvlText w:val="%1%2.%3.%4.%5.%6.%7.%8"/>
      <w:lvlJc w:val="left"/>
      <w:pPr>
        <w:tabs>
          <w:tab w:val="num" w:pos="0"/>
        </w:tabs>
        <w:ind w:left="1440" w:hanging="1440"/>
      </w:pPr>
      <w:rPr/>
    </w:lvl>
    <w:lvl w:ilvl="8">
      <w:start w:val="1"/>
      <w:pStyle w:val="Heading9"/>
      <w:numFmt w:val="decimal"/>
      <w:lvlText w:val="%1%2.%3.%4.%5.%6.%7.%8.%9"/>
      <w:lvlJc w:val="left"/>
      <w:pPr>
        <w:tabs>
          <w:tab w:val="num" w:pos="0"/>
        </w:tabs>
        <w:ind w:left="1584" w:hanging="1584"/>
      </w:pPr>
      <w:rPr/>
    </w:lvl>
  </w:abstractNum>
  <w:abstractNum w:abstractNumId="2">
    <w:lvl w:ilvl="0">
      <w:start w:val="1"/>
      <w:numFmt w:val="decimal"/>
      <w:lvlText w:val="%1."/>
      <w:lvlJc w:val="left"/>
      <w:pPr>
        <w:tabs>
          <w:tab w:val="num" w:pos="284"/>
        </w:tabs>
        <w:ind w:left="284" w:hanging="0"/>
      </w:pPr>
      <w:rPr>
        <w:sz w:val="22"/>
        <w:i w:val="false"/>
        <w:b/>
        <w:szCs w:val="22"/>
        <w:rFonts w:ascii="Times New Roman" w:hAnsi="Times New Roman"/>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3">
    <w:lvl w:ilvl="0">
      <w:start w:val="1"/>
      <w:numFmt w:val="lowerRoman"/>
      <w:lvlText w:val="%1."/>
      <w:lvlJc w:val="right"/>
      <w:pPr>
        <w:tabs>
          <w:tab w:val="num" w:pos="0"/>
        </w:tabs>
        <w:ind w:left="1789" w:hanging="360"/>
      </w:pPr>
      <w:rPr/>
    </w:lvl>
    <w:lvl w:ilvl="1">
      <w:start w:val="1"/>
      <w:numFmt w:val="lowerLetter"/>
      <w:lvlText w:val="%2."/>
      <w:lvlJc w:val="left"/>
      <w:pPr>
        <w:tabs>
          <w:tab w:val="num" w:pos="0"/>
        </w:tabs>
        <w:ind w:left="2509" w:hanging="360"/>
      </w:pPr>
      <w:rPr/>
    </w:lvl>
    <w:lvl w:ilvl="2">
      <w:start w:val="1"/>
      <w:numFmt w:val="lowerRoman"/>
      <w:lvlText w:val="%3."/>
      <w:lvlJc w:val="right"/>
      <w:pPr>
        <w:tabs>
          <w:tab w:val="num" w:pos="0"/>
        </w:tabs>
        <w:ind w:left="3229" w:hanging="180"/>
      </w:pPr>
      <w:rPr/>
    </w:lvl>
    <w:lvl w:ilvl="3">
      <w:start w:val="1"/>
      <w:numFmt w:val="decimal"/>
      <w:lvlText w:val="%4."/>
      <w:lvlJc w:val="left"/>
      <w:pPr>
        <w:tabs>
          <w:tab w:val="num" w:pos="0"/>
        </w:tabs>
        <w:ind w:left="3949" w:hanging="360"/>
      </w:pPr>
      <w:rPr/>
    </w:lvl>
    <w:lvl w:ilvl="4">
      <w:start w:val="1"/>
      <w:numFmt w:val="lowerLetter"/>
      <w:lvlText w:val="%5."/>
      <w:lvlJc w:val="left"/>
      <w:pPr>
        <w:tabs>
          <w:tab w:val="num" w:pos="0"/>
        </w:tabs>
        <w:ind w:left="4669" w:hanging="360"/>
      </w:pPr>
      <w:rPr/>
    </w:lvl>
    <w:lvl w:ilvl="5">
      <w:start w:val="1"/>
      <w:numFmt w:val="lowerRoman"/>
      <w:lvlText w:val="%6."/>
      <w:lvlJc w:val="right"/>
      <w:pPr>
        <w:tabs>
          <w:tab w:val="num" w:pos="0"/>
        </w:tabs>
        <w:ind w:left="5389" w:hanging="180"/>
      </w:pPr>
      <w:rPr/>
    </w:lvl>
    <w:lvl w:ilvl="6">
      <w:start w:val="1"/>
      <w:numFmt w:val="decimal"/>
      <w:lvlText w:val="%7."/>
      <w:lvlJc w:val="left"/>
      <w:pPr>
        <w:tabs>
          <w:tab w:val="num" w:pos="0"/>
        </w:tabs>
        <w:ind w:left="6109" w:hanging="360"/>
      </w:pPr>
      <w:rPr/>
    </w:lvl>
    <w:lvl w:ilvl="7">
      <w:start w:val="1"/>
      <w:numFmt w:val="lowerLetter"/>
      <w:lvlText w:val="%8."/>
      <w:lvlJc w:val="left"/>
      <w:pPr>
        <w:tabs>
          <w:tab w:val="num" w:pos="0"/>
        </w:tabs>
        <w:ind w:left="6829" w:hanging="360"/>
      </w:pPr>
      <w:rPr/>
    </w:lvl>
    <w:lvl w:ilvl="8">
      <w:start w:val="1"/>
      <w:numFmt w:val="lowerRoman"/>
      <w:lvlText w:val="%9."/>
      <w:lvlJc w:val="right"/>
      <w:pPr>
        <w:tabs>
          <w:tab w:val="num" w:pos="0"/>
        </w:tabs>
        <w:ind w:left="7549" w:hanging="180"/>
      </w:pPr>
      <w:rPr/>
    </w:lvl>
  </w:abstractNum>
  <w:abstractNum w:abstractNumId="4">
    <w:lvl w:ilvl="0">
      <w:start w:val="1"/>
      <w:numFmt w:val="lowerLetter"/>
      <w:lvlText w:val="(%1)"/>
      <w:lvlJc w:val="left"/>
      <w:pPr>
        <w:tabs>
          <w:tab w:val="num" w:pos="0"/>
        </w:tabs>
        <w:ind w:left="1069" w:hanging="360"/>
      </w:pPr>
      <w:rPr/>
    </w:lvl>
    <w:lvl w:ilvl="1">
      <w:start w:val="1"/>
      <w:numFmt w:val="lowerRoman"/>
      <w:lvlText w:val="%2."/>
      <w:lvlJc w:val="right"/>
      <w:pPr>
        <w:tabs>
          <w:tab w:val="num" w:pos="0"/>
        </w:tabs>
        <w:ind w:left="1789" w:hanging="360"/>
      </w:pPr>
      <w:rPr/>
    </w:lvl>
    <w:lvl w:ilvl="2">
      <w:start w:val="1"/>
      <w:numFmt w:val="lowerRoman"/>
      <w:lvlText w:val="%3."/>
      <w:lvlJc w:val="right"/>
      <w:pPr>
        <w:tabs>
          <w:tab w:val="num" w:pos="0"/>
        </w:tabs>
        <w:ind w:left="2509" w:hanging="180"/>
      </w:pPr>
      <w:rPr/>
    </w:lvl>
    <w:lvl w:ilvl="3">
      <w:start w:val="1"/>
      <w:numFmt w:val="upperLetter"/>
      <w:lvlText w:val="%4."/>
      <w:lvlJc w:val="left"/>
      <w:pPr>
        <w:tabs>
          <w:tab w:val="num" w:pos="0"/>
        </w:tabs>
        <w:ind w:left="3229" w:hanging="360"/>
      </w:pPr>
      <w:rPr/>
    </w:lvl>
    <w:lvl w:ilvl="4">
      <w:start w:val="1"/>
      <w:numFmt w:val="lowerLetter"/>
      <w:lvlText w:val="%5."/>
      <w:lvlJc w:val="left"/>
      <w:pPr>
        <w:tabs>
          <w:tab w:val="num" w:pos="0"/>
        </w:tabs>
        <w:ind w:left="3949" w:hanging="360"/>
      </w:pPr>
      <w:rPr/>
    </w:lvl>
    <w:lvl w:ilvl="5">
      <w:start w:val="1"/>
      <w:numFmt w:val="lowerRoman"/>
      <w:lvlText w:val="%6."/>
      <w:lvlJc w:val="right"/>
      <w:pPr>
        <w:tabs>
          <w:tab w:val="num" w:pos="0"/>
        </w:tabs>
        <w:ind w:left="4669" w:hanging="180"/>
      </w:pPr>
      <w:rPr/>
    </w:lvl>
    <w:lvl w:ilvl="6">
      <w:start w:val="1"/>
      <w:numFmt w:val="decimal"/>
      <w:lvlText w:val="%7."/>
      <w:lvlJc w:val="left"/>
      <w:pPr>
        <w:tabs>
          <w:tab w:val="num" w:pos="0"/>
        </w:tabs>
        <w:ind w:left="5389" w:hanging="360"/>
      </w:pPr>
      <w:rPr/>
    </w:lvl>
    <w:lvl w:ilvl="7">
      <w:start w:val="1"/>
      <w:numFmt w:val="lowerLetter"/>
      <w:lvlText w:val="%8."/>
      <w:lvlJc w:val="left"/>
      <w:pPr>
        <w:tabs>
          <w:tab w:val="num" w:pos="0"/>
        </w:tabs>
        <w:ind w:left="6109" w:hanging="360"/>
      </w:pPr>
      <w:rPr/>
    </w:lvl>
    <w:lvl w:ilvl="8">
      <w:start w:val="1"/>
      <w:numFmt w:val="lowerRoman"/>
      <w:lvlText w:val="%9."/>
      <w:lvlJc w:val="right"/>
      <w:pPr>
        <w:tabs>
          <w:tab w:val="num" w:pos="0"/>
        </w:tabs>
        <w:ind w:left="6829" w:hanging="180"/>
      </w:pPr>
      <w:rPr/>
    </w:lvl>
  </w:abstractNum>
  <w:abstractNum w:abstractNumId="5">
    <w:lvl w:ilvl="0">
      <w:start w:val="1"/>
      <w:numFmt w:val="lowerRoman"/>
      <w:lvlText w:val="%1."/>
      <w:lvlJc w:val="right"/>
      <w:pPr>
        <w:tabs>
          <w:tab w:val="num" w:pos="0"/>
        </w:tabs>
        <w:ind w:left="1800" w:hanging="360"/>
      </w:pPr>
      <w:rPr/>
    </w:lvl>
    <w:lvl w:ilvl="1">
      <w:start w:val="1"/>
      <w:numFmt w:val="lowerLetter"/>
      <w:lvlText w:val="%2."/>
      <w:lvlJc w:val="left"/>
      <w:pPr>
        <w:tabs>
          <w:tab w:val="num" w:pos="0"/>
        </w:tabs>
        <w:ind w:left="2520" w:hanging="360"/>
      </w:pPr>
      <w:rPr/>
    </w:lvl>
    <w:lvl w:ilvl="2">
      <w:start w:val="1"/>
      <w:numFmt w:val="lowerRoman"/>
      <w:lvlText w:val="%3."/>
      <w:lvlJc w:val="right"/>
      <w:pPr>
        <w:tabs>
          <w:tab w:val="num" w:pos="0"/>
        </w:tabs>
        <w:ind w:left="3240" w:hanging="180"/>
      </w:pPr>
      <w:rPr/>
    </w:lvl>
    <w:lvl w:ilvl="3">
      <w:start w:val="1"/>
      <w:numFmt w:val="decimal"/>
      <w:lvlText w:val="%4."/>
      <w:lvlJc w:val="left"/>
      <w:pPr>
        <w:tabs>
          <w:tab w:val="num" w:pos="0"/>
        </w:tabs>
        <w:ind w:left="3960" w:hanging="360"/>
      </w:pPr>
      <w:rPr/>
    </w:lvl>
    <w:lvl w:ilvl="4">
      <w:start w:val="1"/>
      <w:numFmt w:val="lowerLetter"/>
      <w:lvlText w:val="%5."/>
      <w:lvlJc w:val="left"/>
      <w:pPr>
        <w:tabs>
          <w:tab w:val="num" w:pos="0"/>
        </w:tabs>
        <w:ind w:left="4680" w:hanging="360"/>
      </w:pPr>
      <w:rPr/>
    </w:lvl>
    <w:lvl w:ilvl="5">
      <w:start w:val="1"/>
      <w:numFmt w:val="lowerRoman"/>
      <w:lvlText w:val="%6."/>
      <w:lvlJc w:val="right"/>
      <w:pPr>
        <w:tabs>
          <w:tab w:val="num" w:pos="0"/>
        </w:tabs>
        <w:ind w:left="5400" w:hanging="180"/>
      </w:pPr>
      <w:rPr/>
    </w:lvl>
    <w:lvl w:ilvl="6">
      <w:start w:val="1"/>
      <w:numFmt w:val="decimal"/>
      <w:lvlText w:val="%7."/>
      <w:lvlJc w:val="left"/>
      <w:pPr>
        <w:tabs>
          <w:tab w:val="num" w:pos="0"/>
        </w:tabs>
        <w:ind w:left="6120" w:hanging="360"/>
      </w:pPr>
      <w:rPr/>
    </w:lvl>
    <w:lvl w:ilvl="7">
      <w:start w:val="1"/>
      <w:numFmt w:val="lowerLetter"/>
      <w:lvlText w:val="%8."/>
      <w:lvlJc w:val="left"/>
      <w:pPr>
        <w:tabs>
          <w:tab w:val="num" w:pos="0"/>
        </w:tabs>
        <w:ind w:left="6840" w:hanging="360"/>
      </w:pPr>
      <w:rPr/>
    </w:lvl>
    <w:lvl w:ilvl="8">
      <w:start w:val="1"/>
      <w:numFmt w:val="lowerRoman"/>
      <w:lvlText w:val="%9."/>
      <w:lvlJc w:val="right"/>
      <w:pPr>
        <w:tabs>
          <w:tab w:val="num" w:pos="0"/>
        </w:tabs>
        <w:ind w:left="7560" w:hanging="180"/>
      </w:pPr>
      <w:rPr/>
    </w:lvl>
  </w:abstractNum>
  <w:abstractNum w:abstractNumId="6">
    <w:lvl w:ilvl="0">
      <w:start w:val="1"/>
      <w:numFmt w:val="lowerRoman"/>
      <w:lvlText w:val="%1."/>
      <w:lvlJc w:val="right"/>
      <w:pPr>
        <w:tabs>
          <w:tab w:val="num" w:pos="0"/>
        </w:tabs>
        <w:ind w:left="1789" w:hanging="360"/>
      </w:pPr>
      <w:rPr/>
    </w:lvl>
    <w:lvl w:ilvl="1">
      <w:start w:val="1"/>
      <w:numFmt w:val="lowerLetter"/>
      <w:lvlText w:val="%2."/>
      <w:lvlJc w:val="left"/>
      <w:pPr>
        <w:tabs>
          <w:tab w:val="num" w:pos="0"/>
        </w:tabs>
        <w:ind w:left="2509" w:hanging="360"/>
      </w:pPr>
      <w:rPr/>
    </w:lvl>
    <w:lvl w:ilvl="2">
      <w:start w:val="1"/>
      <w:numFmt w:val="lowerRoman"/>
      <w:lvlText w:val="%3."/>
      <w:lvlJc w:val="right"/>
      <w:pPr>
        <w:tabs>
          <w:tab w:val="num" w:pos="0"/>
        </w:tabs>
        <w:ind w:left="3229" w:hanging="180"/>
      </w:pPr>
      <w:rPr/>
    </w:lvl>
    <w:lvl w:ilvl="3">
      <w:start w:val="1"/>
      <w:numFmt w:val="decimal"/>
      <w:lvlText w:val="%4."/>
      <w:lvlJc w:val="left"/>
      <w:pPr>
        <w:tabs>
          <w:tab w:val="num" w:pos="0"/>
        </w:tabs>
        <w:ind w:left="3949" w:hanging="360"/>
      </w:pPr>
      <w:rPr/>
    </w:lvl>
    <w:lvl w:ilvl="4">
      <w:start w:val="1"/>
      <w:numFmt w:val="lowerLetter"/>
      <w:lvlText w:val="%5."/>
      <w:lvlJc w:val="left"/>
      <w:pPr>
        <w:tabs>
          <w:tab w:val="num" w:pos="0"/>
        </w:tabs>
        <w:ind w:left="4669" w:hanging="360"/>
      </w:pPr>
      <w:rPr/>
    </w:lvl>
    <w:lvl w:ilvl="5">
      <w:start w:val="1"/>
      <w:numFmt w:val="lowerRoman"/>
      <w:lvlText w:val="%6."/>
      <w:lvlJc w:val="right"/>
      <w:pPr>
        <w:tabs>
          <w:tab w:val="num" w:pos="0"/>
        </w:tabs>
        <w:ind w:left="5389" w:hanging="180"/>
      </w:pPr>
      <w:rPr/>
    </w:lvl>
    <w:lvl w:ilvl="6">
      <w:start w:val="1"/>
      <w:numFmt w:val="decimal"/>
      <w:lvlText w:val="%7."/>
      <w:lvlJc w:val="left"/>
      <w:pPr>
        <w:tabs>
          <w:tab w:val="num" w:pos="0"/>
        </w:tabs>
        <w:ind w:left="6109" w:hanging="360"/>
      </w:pPr>
      <w:rPr/>
    </w:lvl>
    <w:lvl w:ilvl="7">
      <w:start w:val="1"/>
      <w:numFmt w:val="lowerLetter"/>
      <w:lvlText w:val="%8."/>
      <w:lvlJc w:val="left"/>
      <w:pPr>
        <w:tabs>
          <w:tab w:val="num" w:pos="0"/>
        </w:tabs>
        <w:ind w:left="6829" w:hanging="360"/>
      </w:pPr>
      <w:rPr/>
    </w:lvl>
    <w:lvl w:ilvl="8">
      <w:start w:val="1"/>
      <w:numFmt w:val="lowerRoman"/>
      <w:lvlText w:val="%9."/>
      <w:lvlJc w:val="right"/>
      <w:pPr>
        <w:tabs>
          <w:tab w:val="num" w:pos="0"/>
        </w:tabs>
        <w:ind w:left="7549" w:hanging="18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embedSystemFonts/>
  <w:defaultTabStop w:val="720"/>
  <w:autoHyphenation w:val="true"/>
  <w:doNotHyphenateCaps/>
  <w:hyphenationZone w:val="425"/>
  <w:footnotePr>
    <w:numFmt w:val="decimal"/>
    <w:footnote w:id="0"/>
    <w:footnote w:id="1"/>
  </w:footnotePr>
  <w:compat>
    <w:doNotBreakWrappedTables/>
    <w:compatSetting w:name="compatibilityMode" w:uri="http://schemas.microsoft.com/office/word" w:val="11"/>
  </w:compat>
  <w:themeFontLang w:val="en-GB" w:eastAsia="" w:bidi=""/>
  <w:docVars>
    <w:docVar w:name="LW_DocType" w:val="NORMAL"/>
  </w:docVars>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US" w:eastAsia="en-US"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921394"/>
    <w:pPr>
      <w:widowControl w:val="false"/>
      <w:suppressAutoHyphens w:val="true"/>
      <w:bidi w:val="0"/>
      <w:spacing w:before="100" w:after="100"/>
      <w:jc w:val="left"/>
    </w:pPr>
    <w:rPr>
      <w:rFonts w:ascii="Times New Roman" w:hAnsi="Times New Roman" w:eastAsia="Times New Roman" w:cs="Times New Roman"/>
      <w:color w:val="auto"/>
      <w:kern w:val="0"/>
      <w:sz w:val="24"/>
      <w:szCs w:val="20"/>
      <w:lang w:val="fr-FR" w:eastAsia="en-US" w:bidi="ar-SA"/>
    </w:rPr>
  </w:style>
  <w:style w:type="paragraph" w:styleId="Heading1">
    <w:name w:val="heading 1"/>
    <w:basedOn w:val="Normal"/>
    <w:next w:val="Normal"/>
    <w:link w:val="Heading1Char"/>
    <w:autoRedefine/>
    <w:qFormat/>
    <w:rsid w:val="002b0469"/>
    <w:pPr>
      <w:keepNext w:val="true"/>
      <w:widowControl/>
      <w:numPr>
        <w:ilvl w:val="0"/>
        <w:numId w:val="1"/>
      </w:numPr>
      <w:spacing w:before="480" w:after="240"/>
      <w:outlineLvl w:val="0"/>
    </w:pPr>
    <w:rPr>
      <w:b/>
      <w:bCs/>
      <w:caps/>
      <w:sz w:val="30"/>
      <w:szCs w:val="22"/>
      <w:lang w:val="en-GB"/>
    </w:rPr>
  </w:style>
  <w:style w:type="paragraph" w:styleId="Heading2">
    <w:name w:val="heading 2"/>
    <w:basedOn w:val="Normal"/>
    <w:next w:val="Normal"/>
    <w:link w:val="Heading2Char"/>
    <w:autoRedefine/>
    <w:qFormat/>
    <w:rsid w:val="002b0469"/>
    <w:pPr>
      <w:widowControl/>
      <w:numPr>
        <w:ilvl w:val="1"/>
        <w:numId w:val="1"/>
      </w:numPr>
      <w:spacing w:before="240" w:after="120"/>
      <w:jc w:val="both"/>
      <w:outlineLvl w:val="1"/>
    </w:pPr>
    <w:rPr>
      <w:rFonts w:ascii="Times New Roman Bold" w:hAnsi="Times New Roman Bold"/>
      <w:b/>
      <w:sz w:val="22"/>
      <w:szCs w:val="22"/>
      <w:lang w:val="x-none"/>
    </w:rPr>
  </w:style>
  <w:style w:type="paragraph" w:styleId="Heading3">
    <w:name w:val="heading 3"/>
    <w:basedOn w:val="Normal"/>
    <w:next w:val="Normal"/>
    <w:link w:val="Heading3Char"/>
    <w:qFormat/>
    <w:rsid w:val="002b0469"/>
    <w:pPr>
      <w:widowControl/>
      <w:numPr>
        <w:ilvl w:val="2"/>
        <w:numId w:val="1"/>
      </w:numPr>
      <w:spacing w:before="240" w:after="120"/>
      <w:jc w:val="both"/>
      <w:outlineLvl w:val="2"/>
    </w:pPr>
    <w:rPr>
      <w:sz w:val="22"/>
      <w:szCs w:val="22"/>
      <w:lang w:val="x-none"/>
    </w:rPr>
  </w:style>
  <w:style w:type="paragraph" w:styleId="Heading4">
    <w:name w:val="heading 4"/>
    <w:basedOn w:val="Normal"/>
    <w:next w:val="Normal"/>
    <w:link w:val="Heading4Char"/>
    <w:autoRedefine/>
    <w:qFormat/>
    <w:rsid w:val="002b0469"/>
    <w:pPr>
      <w:widowControl/>
      <w:numPr>
        <w:ilvl w:val="3"/>
        <w:numId w:val="1"/>
      </w:numPr>
      <w:spacing w:before="120" w:after="120"/>
      <w:jc w:val="both"/>
      <w:outlineLvl w:val="3"/>
    </w:pPr>
    <w:rPr>
      <w:sz w:val="22"/>
      <w:szCs w:val="22"/>
      <w:lang w:val="en-GB"/>
    </w:rPr>
  </w:style>
  <w:style w:type="paragraph" w:styleId="Heading5">
    <w:name w:val="heading 5"/>
    <w:basedOn w:val="Normal"/>
    <w:next w:val="Normal"/>
    <w:link w:val="Heading5Char"/>
    <w:qFormat/>
    <w:rsid w:val="002b0469"/>
    <w:pPr>
      <w:widowControl/>
      <w:numPr>
        <w:ilvl w:val="4"/>
        <w:numId w:val="1"/>
      </w:numPr>
      <w:spacing w:before="240" w:after="120"/>
      <w:jc w:val="both"/>
      <w:outlineLvl w:val="4"/>
    </w:pPr>
    <w:rPr>
      <w:sz w:val="22"/>
      <w:szCs w:val="22"/>
      <w:lang w:val="en-GB"/>
    </w:rPr>
  </w:style>
  <w:style w:type="paragraph" w:styleId="Heading6">
    <w:name w:val="heading 6"/>
    <w:basedOn w:val="Normal"/>
    <w:next w:val="Normal"/>
    <w:link w:val="Heading6Char"/>
    <w:qFormat/>
    <w:rsid w:val="002b0469"/>
    <w:pPr>
      <w:widowControl/>
      <w:numPr>
        <w:ilvl w:val="5"/>
        <w:numId w:val="1"/>
      </w:numPr>
      <w:spacing w:before="240" w:after="60"/>
      <w:outlineLvl w:val="5"/>
    </w:pPr>
    <w:rPr>
      <w:rFonts w:ascii="Calibri" w:hAnsi="Calibri"/>
      <w:b/>
      <w:bCs/>
      <w:sz w:val="22"/>
      <w:szCs w:val="22"/>
      <w:lang w:val="x-none"/>
    </w:rPr>
  </w:style>
  <w:style w:type="paragraph" w:styleId="Heading7">
    <w:name w:val="heading 7"/>
    <w:basedOn w:val="Normal"/>
    <w:next w:val="Normal"/>
    <w:link w:val="Heading7Char"/>
    <w:qFormat/>
    <w:rsid w:val="002b0469"/>
    <w:pPr>
      <w:keepNext w:val="true"/>
      <w:widowControl/>
      <w:numPr>
        <w:ilvl w:val="6"/>
        <w:numId w:val="1"/>
      </w:numPr>
      <w:spacing w:before="0" w:after="120"/>
      <w:jc w:val="center"/>
      <w:outlineLvl w:val="6"/>
    </w:pPr>
    <w:rPr>
      <w:rFonts w:ascii="Arial" w:hAnsi="Arial"/>
      <w:b/>
      <w:color w:val="008000"/>
      <w:sz w:val="32"/>
      <w:lang w:val="en-GB"/>
    </w:rPr>
  </w:style>
  <w:style w:type="paragraph" w:styleId="Heading8">
    <w:name w:val="heading 8"/>
    <w:basedOn w:val="Normal"/>
    <w:next w:val="Normal"/>
    <w:link w:val="Heading8Char"/>
    <w:qFormat/>
    <w:rsid w:val="002b0469"/>
    <w:pPr>
      <w:keepNext w:val="true"/>
      <w:widowControl/>
      <w:numPr>
        <w:ilvl w:val="7"/>
        <w:numId w:val="1"/>
      </w:numPr>
      <w:spacing w:before="0" w:after="120"/>
      <w:jc w:val="both"/>
      <w:outlineLvl w:val="7"/>
    </w:pPr>
    <w:rPr>
      <w:rFonts w:ascii="Arial" w:hAnsi="Arial"/>
      <w:b/>
      <w:sz w:val="22"/>
      <w:lang w:val="en-GB"/>
    </w:rPr>
  </w:style>
  <w:style w:type="paragraph" w:styleId="Heading9">
    <w:name w:val="heading 9"/>
    <w:basedOn w:val="Normal"/>
    <w:next w:val="Normal"/>
    <w:link w:val="Heading9Char"/>
    <w:qFormat/>
    <w:rsid w:val="002b0469"/>
    <w:pPr>
      <w:widowControl/>
      <w:numPr>
        <w:ilvl w:val="8"/>
        <w:numId w:val="1"/>
      </w:numPr>
      <w:spacing w:before="240" w:after="60"/>
      <w:outlineLvl w:val="8"/>
    </w:pPr>
    <w:rPr>
      <w:rFonts w:ascii="Cambria" w:hAnsi="Cambria"/>
      <w:sz w:val="22"/>
      <w:szCs w:val="22"/>
      <w:lang w:val="x-none"/>
    </w:rPr>
  </w:style>
  <w:style w:type="character" w:styleId="DefaultParagraphFont" w:default="1">
    <w:name w:val="Default Paragraph Font"/>
    <w:uiPriority w:val="1"/>
    <w:semiHidden/>
    <w:unhideWhenUsed/>
    <w:qFormat/>
    <w:rPr/>
  </w:style>
  <w:style w:type="character" w:styleId="Definition" w:customStyle="1">
    <w:name w:val="Definition"/>
    <w:qFormat/>
    <w:rPr>
      <w:i/>
    </w:rPr>
  </w:style>
  <w:style w:type="character" w:styleId="CITE" w:customStyle="1">
    <w:name w:val="CITE"/>
    <w:qFormat/>
    <w:rPr>
      <w:i/>
    </w:rPr>
  </w:style>
  <w:style w:type="character" w:styleId="CODE" w:customStyle="1">
    <w:name w:val="CODE"/>
    <w:qFormat/>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styleId="Keyboard" w:customStyle="1">
    <w:name w:val="Keyboard"/>
    <w:qFormat/>
    <w:rPr>
      <w:rFonts w:ascii="Courier New" w:hAnsi="Courier New"/>
      <w:b/>
      <w:sz w:val="20"/>
    </w:rPr>
  </w:style>
  <w:style w:type="character" w:styleId="Sample" w:customStyle="1">
    <w:name w:val="Sample"/>
    <w:qFormat/>
    <w:rPr>
      <w:rFonts w:ascii="Courier New" w:hAnsi="Courier New"/>
    </w:rPr>
  </w:style>
  <w:style w:type="character" w:styleId="Strong">
    <w:name w:val="Strong"/>
    <w:qFormat/>
    <w:rPr>
      <w:b/>
    </w:rPr>
  </w:style>
  <w:style w:type="character" w:styleId="Typewriter" w:customStyle="1">
    <w:name w:val="Typewriter"/>
    <w:qFormat/>
    <w:rPr>
      <w:rFonts w:ascii="Courier New" w:hAnsi="Courier New"/>
      <w:sz w:val="20"/>
    </w:rPr>
  </w:style>
  <w:style w:type="character" w:styleId="Variable" w:customStyle="1">
    <w:name w:val="Variable"/>
    <w:qFormat/>
    <w:rPr>
      <w:i/>
    </w:rPr>
  </w:style>
  <w:style w:type="character" w:styleId="HTMLMarkup" w:customStyle="1">
    <w:name w:val="HTML Markup"/>
    <w:qFormat/>
    <w:rPr>
      <w:vanish/>
      <w:color w:val="FF0000"/>
    </w:rPr>
  </w:style>
  <w:style w:type="character" w:styleId="Comment" w:customStyle="1">
    <w:name w:val="Comment"/>
    <w:qFormat/>
    <w:rPr>
      <w:vanish/>
    </w:rPr>
  </w:style>
  <w:style w:type="character" w:styleId="PageNumber">
    <w:name w:val="page number"/>
    <w:basedOn w:val="DefaultParagraphFont"/>
    <w:rsid w:val="00805efa"/>
    <w:rPr/>
  </w:style>
  <w:style w:type="character" w:styleId="CommentReference">
    <w:name w:val="annotation reference"/>
    <w:qFormat/>
    <w:rsid w:val="00bd3b9d"/>
    <w:rPr>
      <w:sz w:val="16"/>
      <w:szCs w:val="16"/>
    </w:rPr>
  </w:style>
  <w:style w:type="character" w:styleId="FootnoteTextChar" w:customStyle="1">
    <w:name w:val="Footnote Text Char"/>
    <w:link w:val="FootnoteText"/>
    <w:uiPriority w:val="99"/>
    <w:qFormat/>
    <w:rsid w:val="00b70348"/>
    <w:rPr>
      <w:lang w:val="fr-FR" w:eastAsia="en-US"/>
    </w:rPr>
  </w:style>
  <w:style w:type="character" w:styleId="FootnoteCharacters">
    <w:name w:val="Footnote Characters"/>
    <w:qFormat/>
    <w:rsid w:val="00a95184"/>
    <w:rPr>
      <w:vertAlign w:val="superscript"/>
    </w:rPr>
  </w:style>
  <w:style w:type="character" w:styleId="FootnoteReference">
    <w:name w:val="footnote reference"/>
    <w:rPr>
      <w:vertAlign w:val="superscript"/>
    </w:rPr>
  </w:style>
  <w:style w:type="character" w:styleId="Heading1Char" w:customStyle="1">
    <w:name w:val="Heading 1 Char"/>
    <w:link w:val="Heading1"/>
    <w:qFormat/>
    <w:rsid w:val="002b0469"/>
    <w:rPr>
      <w:b/>
      <w:bCs/>
      <w:caps/>
      <w:sz w:val="30"/>
      <w:szCs w:val="22"/>
      <w:lang w:val="en-GB"/>
    </w:rPr>
  </w:style>
  <w:style w:type="character" w:styleId="Heading2Char" w:customStyle="1">
    <w:name w:val="Heading 2 Char"/>
    <w:link w:val="Heading2"/>
    <w:qFormat/>
    <w:rsid w:val="002b0469"/>
    <w:rPr>
      <w:rFonts w:ascii="Times New Roman Bold" w:hAnsi="Times New Roman Bold"/>
      <w:b/>
      <w:sz w:val="22"/>
      <w:szCs w:val="22"/>
      <w:lang w:val="x-none"/>
    </w:rPr>
  </w:style>
  <w:style w:type="character" w:styleId="Heading3Char" w:customStyle="1">
    <w:name w:val="Heading 3 Char"/>
    <w:link w:val="Heading3"/>
    <w:qFormat/>
    <w:rsid w:val="002b0469"/>
    <w:rPr>
      <w:sz w:val="22"/>
      <w:szCs w:val="22"/>
      <w:lang w:val="x-none"/>
    </w:rPr>
  </w:style>
  <w:style w:type="character" w:styleId="Heading4Char" w:customStyle="1">
    <w:name w:val="Heading 4 Char"/>
    <w:link w:val="Heading4"/>
    <w:qFormat/>
    <w:rsid w:val="002b0469"/>
    <w:rPr>
      <w:sz w:val="22"/>
      <w:szCs w:val="22"/>
      <w:lang w:val="en-GB"/>
    </w:rPr>
  </w:style>
  <w:style w:type="character" w:styleId="Heading5Char" w:customStyle="1">
    <w:name w:val="Heading 5 Char"/>
    <w:link w:val="Heading5"/>
    <w:qFormat/>
    <w:rsid w:val="002b0469"/>
    <w:rPr>
      <w:sz w:val="22"/>
      <w:szCs w:val="22"/>
      <w:lang w:val="en-GB"/>
    </w:rPr>
  </w:style>
  <w:style w:type="character" w:styleId="Heading6Char" w:customStyle="1">
    <w:name w:val="Heading 6 Char"/>
    <w:link w:val="Heading6"/>
    <w:qFormat/>
    <w:rsid w:val="002b0469"/>
    <w:rPr>
      <w:rFonts w:ascii="Calibri" w:hAnsi="Calibri"/>
      <w:b/>
      <w:bCs/>
      <w:sz w:val="22"/>
      <w:szCs w:val="22"/>
      <w:lang w:val="x-none"/>
    </w:rPr>
  </w:style>
  <w:style w:type="character" w:styleId="Heading7Char" w:customStyle="1">
    <w:name w:val="Heading 7 Char"/>
    <w:link w:val="Heading7"/>
    <w:qFormat/>
    <w:rsid w:val="002b0469"/>
    <w:rPr>
      <w:rFonts w:ascii="Arial" w:hAnsi="Arial"/>
      <w:b/>
      <w:color w:val="008000"/>
      <w:sz w:val="32"/>
      <w:lang w:val="en-GB"/>
    </w:rPr>
  </w:style>
  <w:style w:type="character" w:styleId="Heading8Char" w:customStyle="1">
    <w:name w:val="Heading 8 Char"/>
    <w:link w:val="Heading8"/>
    <w:qFormat/>
    <w:rsid w:val="002b0469"/>
    <w:rPr>
      <w:rFonts w:ascii="Arial" w:hAnsi="Arial"/>
      <w:b/>
      <w:sz w:val="22"/>
      <w:lang w:val="en-GB"/>
    </w:rPr>
  </w:style>
  <w:style w:type="character" w:styleId="Heading9Char" w:customStyle="1">
    <w:name w:val="Heading 9 Char"/>
    <w:link w:val="Heading9"/>
    <w:qFormat/>
    <w:rsid w:val="002b0469"/>
    <w:rPr>
      <w:rFonts w:ascii="Cambria" w:hAnsi="Cambria"/>
      <w:sz w:val="22"/>
      <w:szCs w:val="22"/>
      <w:lang w:val="x-none"/>
    </w:rPr>
  </w:style>
  <w:style w:type="character" w:styleId="normaltextrun" w:customStyle="1">
    <w:name w:val="normaltextrun"/>
    <w:qFormat/>
    <w:rsid w:val="000252ff"/>
    <w:rPr/>
  </w:style>
  <w:style w:type="character" w:styleId="eop" w:customStyle="1">
    <w:name w:val="eop"/>
    <w:qFormat/>
    <w:rsid w:val="000252ff"/>
    <w:rPr/>
  </w:style>
  <w:style w:type="character" w:styleId="highlight" w:customStyle="1">
    <w:name w:val="highlight"/>
    <w:qFormat/>
    <w:rsid w:val="00770c21"/>
    <w:rPr>
      <w:rFonts w:ascii="Times New Roman" w:hAnsi="Times New Roman" w:cs="Times New Roman"/>
    </w:rPr>
  </w:style>
  <w:style w:type="character" w:styleId="CommentTextChar" w:customStyle="1">
    <w:name w:val="Comment Text Char"/>
    <w:link w:val="CommentText"/>
    <w:qFormat/>
    <w:rsid w:val="00646fcf"/>
    <w:rPr>
      <w:lang w:val="fr-FR" w:eastAsia="en-US"/>
    </w:rPr>
  </w:style>
  <w:style w:type="character" w:styleId="EndnoteReference">
    <w:name w:val="endnote reference"/>
    <w:rPr>
      <w:vertAlign w:val="superscript"/>
    </w:rPr>
  </w:style>
  <w:style w:type="character" w:styleId="EndnoteCharacters">
    <w:name w:val="Endnote Characters"/>
    <w:qFormat/>
    <w:rPr/>
  </w:style>
  <w:style w:type="paragraph" w:styleId="Heading">
    <w:name w:val="Heading"/>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DefinitionTerm" w:customStyle="1">
    <w:name w:val="Definition Term"/>
    <w:basedOn w:val="Normal"/>
    <w:next w:val="DefinitionList"/>
    <w:qFormat/>
    <w:pPr>
      <w:spacing w:before="0" w:after="0"/>
    </w:pPr>
    <w:rPr/>
  </w:style>
  <w:style w:type="paragraph" w:styleId="DefinitionList" w:customStyle="1">
    <w:name w:val="Definition List"/>
    <w:basedOn w:val="Normal"/>
    <w:next w:val="DefinitionTerm"/>
    <w:qFormat/>
    <w:pPr>
      <w:spacing w:before="0" w:after="0"/>
      <w:ind w:left="360"/>
    </w:pPr>
    <w:rPr/>
  </w:style>
  <w:style w:type="paragraph" w:styleId="H1" w:customStyle="1">
    <w:name w:val="H1"/>
    <w:basedOn w:val="Normal"/>
    <w:next w:val="Normal"/>
    <w:qFormat/>
    <w:pPr>
      <w:keepNext w:val="true"/>
      <w:outlineLvl w:val="1"/>
    </w:pPr>
    <w:rPr>
      <w:b/>
      <w:kern w:val="2"/>
      <w:sz w:val="48"/>
    </w:rPr>
  </w:style>
  <w:style w:type="paragraph" w:styleId="H2" w:customStyle="1">
    <w:name w:val="H2"/>
    <w:basedOn w:val="Normal"/>
    <w:next w:val="Normal"/>
    <w:qFormat/>
    <w:pPr>
      <w:keepNext w:val="true"/>
      <w:outlineLvl w:val="2"/>
    </w:pPr>
    <w:rPr>
      <w:b/>
      <w:sz w:val="36"/>
    </w:rPr>
  </w:style>
  <w:style w:type="paragraph" w:styleId="H3" w:customStyle="1">
    <w:name w:val="H3"/>
    <w:basedOn w:val="Normal"/>
    <w:next w:val="Normal"/>
    <w:qFormat/>
    <w:pPr>
      <w:keepNext w:val="true"/>
      <w:outlineLvl w:val="3"/>
    </w:pPr>
    <w:rPr>
      <w:b/>
      <w:sz w:val="28"/>
    </w:rPr>
  </w:style>
  <w:style w:type="paragraph" w:styleId="H4" w:customStyle="1">
    <w:name w:val="H4"/>
    <w:basedOn w:val="Normal"/>
    <w:next w:val="Normal"/>
    <w:qFormat/>
    <w:pPr>
      <w:keepNext w:val="true"/>
      <w:outlineLvl w:val="4"/>
    </w:pPr>
    <w:rPr>
      <w:b/>
    </w:rPr>
  </w:style>
  <w:style w:type="paragraph" w:styleId="H5" w:customStyle="1">
    <w:name w:val="H5"/>
    <w:basedOn w:val="Normal"/>
    <w:next w:val="Normal"/>
    <w:qFormat/>
    <w:pPr>
      <w:keepNext w:val="true"/>
      <w:outlineLvl w:val="5"/>
    </w:pPr>
    <w:rPr>
      <w:b/>
      <w:sz w:val="20"/>
    </w:rPr>
  </w:style>
  <w:style w:type="paragraph" w:styleId="H6" w:customStyle="1">
    <w:name w:val="H6"/>
    <w:basedOn w:val="Normal"/>
    <w:next w:val="Normal"/>
    <w:qFormat/>
    <w:pPr>
      <w:keepNext w:val="true"/>
      <w:outlineLvl w:val="6"/>
    </w:pPr>
    <w:rPr>
      <w:b/>
      <w:sz w:val="16"/>
    </w:rPr>
  </w:style>
  <w:style w:type="paragraph" w:styleId="Address" w:customStyle="1">
    <w:name w:val="Address"/>
    <w:basedOn w:val="Normal"/>
    <w:next w:val="Normal"/>
    <w:qFormat/>
    <w:pPr>
      <w:spacing w:before="0" w:after="0"/>
    </w:pPr>
    <w:rPr>
      <w:i/>
    </w:rPr>
  </w:style>
  <w:style w:type="paragraph" w:styleId="Blockquote" w:customStyle="1">
    <w:name w:val="Blockquote"/>
    <w:basedOn w:val="Normal"/>
    <w:qFormat/>
    <w:pPr>
      <w:ind w:left="360" w:right="360"/>
    </w:pPr>
    <w:rPr/>
  </w:style>
  <w:style w:type="paragraph" w:styleId="Preformatted" w:customStyle="1">
    <w:name w:val="Preformatted"/>
    <w:basedOn w:val="Normal"/>
    <w:qFormat/>
    <w:pPr>
      <w:tabs>
        <w:tab w:val="clear" w:pos="720"/>
        <w:tab w:val="left" w:pos="0" w:leader="none"/>
        <w:tab w:val="left" w:pos="959" w:leader="none"/>
        <w:tab w:val="left" w:pos="1918" w:leader="none"/>
        <w:tab w:val="left" w:pos="2877" w:leader="none"/>
        <w:tab w:val="left" w:pos="3836" w:leader="none"/>
        <w:tab w:val="left" w:pos="4795" w:leader="none"/>
        <w:tab w:val="left" w:pos="5754" w:leader="none"/>
        <w:tab w:val="left" w:pos="6713" w:leader="none"/>
        <w:tab w:val="left" w:pos="7672" w:leader="none"/>
        <w:tab w:val="left" w:pos="8631" w:leader="none"/>
        <w:tab w:val="left" w:pos="9590" w:leader="none"/>
      </w:tabs>
      <w:spacing w:before="0" w:after="0"/>
    </w:pPr>
    <w:rPr>
      <w:rFonts w:ascii="Courier New" w:hAnsi="Courier New"/>
      <w:sz w:val="20"/>
    </w:rPr>
  </w:style>
  <w:style w:type="paragraph" w:styleId="HTMLBottomofForm">
    <w:name w:val="HTML Bottom of Form"/>
    <w:next w:val="Normal"/>
    <w:qFormat/>
    <w:pPr>
      <w:widowControl w:val="false"/>
      <w:pBdr>
        <w:top w:val="double" w:sz="2" w:space="0" w:color="000000"/>
      </w:pBdr>
      <w:bidi w:val="0"/>
      <w:spacing w:before="0" w:after="0"/>
      <w:jc w:val="center"/>
    </w:pPr>
    <w:rPr>
      <w:rFonts w:ascii="Arial" w:hAnsi="Arial" w:eastAsia="Times New Roman" w:cs="Times New Roman"/>
      <w:vanish/>
      <w:color w:val="auto"/>
      <w:kern w:val="0"/>
      <w:sz w:val="16"/>
      <w:szCs w:val="20"/>
      <w:lang w:val="en-US" w:eastAsia="en-US" w:bidi="ar-SA"/>
    </w:rPr>
  </w:style>
  <w:style w:type="paragraph" w:styleId="HTMLTopofForm">
    <w:name w:val="HTML Top of Form"/>
    <w:next w:val="Normal"/>
    <w:qFormat/>
    <w:pPr>
      <w:widowControl w:val="false"/>
      <w:pBdr>
        <w:bottom w:val="double" w:sz="2" w:space="0" w:color="000000"/>
      </w:pBdr>
      <w:bidi w:val="0"/>
      <w:spacing w:before="0" w:after="0"/>
      <w:jc w:val="center"/>
    </w:pPr>
    <w:rPr>
      <w:rFonts w:ascii="Arial" w:hAnsi="Arial" w:eastAsia="Times New Roman" w:cs="Times New Roman"/>
      <w:vanish/>
      <w:color w:val="auto"/>
      <w:kern w:val="0"/>
      <w:sz w:val="16"/>
      <w:szCs w:val="20"/>
      <w:lang w:val="en-US" w:eastAsia="en-US" w:bidi="ar-SA"/>
    </w:rPr>
  </w:style>
  <w:style w:type="paragraph" w:styleId="DocumentMap">
    <w:name w:val="Document Map"/>
    <w:basedOn w:val="Normal"/>
    <w:semiHidden/>
    <w:qFormat/>
    <w:pPr>
      <w:shd w:val="clear" w:color="auto" w:fill="000080"/>
    </w:pPr>
    <w:rPr/>
  </w:style>
  <w:style w:type="paragraph" w:styleId="HeaderandFooter">
    <w:name w:val="Header and Footer"/>
    <w:basedOn w:val="Normal"/>
    <w:qFormat/>
    <w:pPr/>
    <w:rPr/>
  </w:style>
  <w:style w:type="paragraph" w:styleId="Header">
    <w:name w:val="header"/>
    <w:basedOn w:val="Normal"/>
    <w:rsid w:val="007c4aa9"/>
    <w:pPr>
      <w:tabs>
        <w:tab w:val="clear" w:pos="720"/>
        <w:tab w:val="center" w:pos="4536" w:leader="none"/>
        <w:tab w:val="right" w:pos="9072" w:leader="none"/>
      </w:tabs>
    </w:pPr>
    <w:rPr/>
  </w:style>
  <w:style w:type="paragraph" w:styleId="Footer">
    <w:name w:val="footer"/>
    <w:basedOn w:val="Normal"/>
    <w:rsid w:val="007c4aa9"/>
    <w:pPr>
      <w:tabs>
        <w:tab w:val="clear" w:pos="720"/>
        <w:tab w:val="center" w:pos="4536" w:leader="none"/>
        <w:tab w:val="right" w:pos="9072" w:leader="none"/>
      </w:tabs>
    </w:pPr>
    <w:rPr/>
  </w:style>
  <w:style w:type="paragraph" w:styleId="PRAGHeading2" w:customStyle="1">
    <w:name w:val="PRAG Heading 2"/>
    <w:basedOn w:val="Normal"/>
    <w:qFormat/>
    <w:rsid w:val="00805efa"/>
    <w:pPr>
      <w:numPr>
        <w:ilvl w:val="0"/>
        <w:numId w:val="2"/>
      </w:numPr>
    </w:pPr>
    <w:rPr/>
  </w:style>
  <w:style w:type="paragraph" w:styleId="CommentText">
    <w:name w:val="annotation text"/>
    <w:basedOn w:val="Normal"/>
    <w:link w:val="CommentTextChar"/>
    <w:rsid w:val="00bd3b9d"/>
    <w:pPr/>
    <w:rPr>
      <w:sz w:val="20"/>
    </w:rPr>
  </w:style>
  <w:style w:type="paragraph" w:styleId="annotationsubject">
    <w:name w:val="annotation subject"/>
    <w:basedOn w:val="CommentText"/>
    <w:next w:val="CommentText"/>
    <w:semiHidden/>
    <w:qFormat/>
    <w:rsid w:val="00bd3b9d"/>
    <w:pPr/>
    <w:rPr>
      <w:b/>
      <w:bCs/>
    </w:rPr>
  </w:style>
  <w:style w:type="paragraph" w:styleId="BalloonText">
    <w:name w:val="Balloon Text"/>
    <w:basedOn w:val="Normal"/>
    <w:semiHidden/>
    <w:qFormat/>
    <w:rsid w:val="00bd3b9d"/>
    <w:pPr/>
    <w:rPr>
      <w:rFonts w:ascii="Tahoma" w:hAnsi="Tahoma" w:cs="Tahoma"/>
      <w:sz w:val="16"/>
      <w:szCs w:val="16"/>
    </w:rPr>
  </w:style>
  <w:style w:type="paragraph" w:styleId="FootnoteText">
    <w:name w:val="footnote text"/>
    <w:basedOn w:val="Normal"/>
    <w:link w:val="FootnoteTextChar"/>
    <w:autoRedefine/>
    <w:uiPriority w:val="99"/>
    <w:rsid w:val="00b70348"/>
    <w:pPr>
      <w:spacing w:before="0" w:after="0"/>
    </w:pPr>
    <w:rPr>
      <w:sz w:val="20"/>
    </w:rPr>
  </w:style>
  <w:style w:type="paragraph" w:styleId="FootnoteText1" w:customStyle="1">
    <w:name w:val="Footnote Text1"/>
    <w:qFormat/>
    <w:rsid w:val="00b24e1f"/>
    <w:pPr>
      <w:widowControl/>
      <w:bidi w:val="0"/>
      <w:spacing w:before="0" w:after="0"/>
      <w:jc w:val="both"/>
    </w:pPr>
    <w:rPr>
      <w:rFonts w:ascii="Calibri" w:hAnsi="Calibri" w:eastAsia="Calibri" w:cs="Calibri"/>
      <w:color w:val="000000"/>
      <w:kern w:val="0"/>
      <w:sz w:val="20"/>
      <w:szCs w:val="20"/>
      <w:u w:val="none" w:color="000000"/>
      <w:lang w:val="en-GB" w:eastAsia="fr-FR" w:bidi="ar-SA"/>
    </w:rPr>
  </w:style>
  <w:style w:type="paragraph" w:styleId="paragraph" w:customStyle="1">
    <w:name w:val="paragraph"/>
    <w:basedOn w:val="Normal"/>
    <w:qFormat/>
    <w:rsid w:val="000252ff"/>
    <w:pPr>
      <w:widowControl/>
      <w:spacing w:beforeAutospacing="1" w:afterAutospacing="1"/>
    </w:pPr>
    <w:rPr>
      <w:szCs w:val="24"/>
      <w:lang w:val="fr-BE" w:eastAsia="fr-BE"/>
    </w:rPr>
  </w:style>
  <w:style w:type="paragraph" w:styleId="Revision">
    <w:name w:val="Revision"/>
    <w:uiPriority w:val="99"/>
    <w:semiHidden/>
    <w:qFormat/>
    <w:rsid w:val="00f032a1"/>
    <w:pPr>
      <w:widowControl/>
      <w:bidi w:val="0"/>
      <w:spacing w:before="0" w:after="0"/>
      <w:jc w:val="left"/>
    </w:pPr>
    <w:rPr>
      <w:rFonts w:ascii="Times New Roman" w:hAnsi="Times New Roman" w:eastAsia="Times New Roman" w:cs="Times New Roman"/>
      <w:color w:val="auto"/>
      <w:kern w:val="0"/>
      <w:sz w:val="24"/>
      <w:szCs w:val="20"/>
      <w:lang w:val="fr-FR" w:eastAsia="en-US" w:bidi="ar-SA"/>
    </w:rPr>
  </w:style>
  <w:style w:type="paragraph" w:styleId="Default" w:customStyle="1">
    <w:name w:val="Default"/>
    <w:qFormat/>
    <w:rsid w:val="00646fcf"/>
    <w:pPr>
      <w:widowControl/>
      <w:bidi w:val="0"/>
      <w:spacing w:before="0" w:after="0"/>
      <w:jc w:val="left"/>
    </w:pPr>
    <w:rPr>
      <w:rFonts w:ascii="Minion Pro" w:hAnsi="Minion Pro" w:cs="Minion Pro" w:eastAsia="Times New Roman"/>
      <w:color w:val="000000"/>
      <w:kern w:val="0"/>
      <w:sz w:val="24"/>
      <w:szCs w:val="24"/>
      <w:lang w:val="en-GB" w:eastAsia="en-GB" w:bidi="ar-SA"/>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footnotes" Target="footnote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_rels/footnotes.xml.rels><?xml version="1.0" encoding="UTF-8"?>
<Relationships xmlns="http://schemas.openxmlformats.org/package/2006/relationships"><Relationship Id="rId1" Type="http://schemas.openxmlformats.org/officeDocument/2006/relationships/hyperlink" Target="https://www.sanctionsmap.eu/" TargetMode="Externa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1A80D1-5EC5-421E-B12C-412747799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904</TotalTime>
  <Application>LibreOffice/25.2.2.2$Windows_X86_64 LibreOffice_project/7370d4be9e3cf6031a51beef54ff3bda878e3fac</Application>
  <AppVersion>15.0000</AppVersion>
  <Pages>6</Pages>
  <Words>2123</Words>
  <Characters>11806</Characters>
  <CharactersWithSpaces>13845</CharactersWithSpaces>
  <Paragraphs>94</Paragraphs>
  <Company>European Commission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2024-06-17T16:22:00Z</dcterms:created>
  <dc:creator>sabatmu</dc:creator>
  <dc:description/>
  <dc:language>en-US</dc:language>
  <cp:lastModifiedBy/>
  <cp:lastPrinted>2006-01-25T10:58:00Z</cp:lastPrinted>
  <dcterms:modified xsi:type="dcterms:W3CDTF">2025-06-02T14:49:59Z</dcterms:modified>
  <cp:revision>26</cp:revision>
  <dc:subject/>
  <dc:title>proc_notice_en</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Generator">
    <vt:lpwstr>Microsoft Word 97</vt:lpwstr>
  </property>
  <property fmtid="{D5CDD505-2E9C-101B-9397-08002B2CF9AE}" pid="4" name="MSIP_Label_6bd9ddd1-4d20-43f6-abfa-fc3c07406f94_ActionId">
    <vt:lpwstr>5b99a189-95d4-4102-bfb3-79664ec6b5c9</vt:lpwstr>
  </property>
  <property fmtid="{D5CDD505-2E9C-101B-9397-08002B2CF9AE}" pid="5" name="MSIP_Label_6bd9ddd1-4d20-43f6-abfa-fc3c07406f94_ContentBits">
    <vt:lpwstr>0</vt:lpwstr>
  </property>
  <property fmtid="{D5CDD505-2E9C-101B-9397-08002B2CF9AE}" pid="6" name="MSIP_Label_6bd9ddd1-4d20-43f6-abfa-fc3c07406f94_Enabled">
    <vt:lpwstr>true</vt:lpwstr>
  </property>
  <property fmtid="{D5CDD505-2E9C-101B-9397-08002B2CF9AE}" pid="7" name="MSIP_Label_6bd9ddd1-4d20-43f6-abfa-fc3c07406f94_Method">
    <vt:lpwstr>Privileged</vt:lpwstr>
  </property>
  <property fmtid="{D5CDD505-2E9C-101B-9397-08002B2CF9AE}" pid="8" name="MSIP_Label_6bd9ddd1-4d20-43f6-abfa-fc3c07406f94_Name">
    <vt:lpwstr>Commission Use</vt:lpwstr>
  </property>
  <property fmtid="{D5CDD505-2E9C-101B-9397-08002B2CF9AE}" pid="9" name="MSIP_Label_6bd9ddd1-4d20-43f6-abfa-fc3c07406f94_SetDate">
    <vt:lpwstr>2023-04-04T08:33:44Z</vt:lpwstr>
  </property>
  <property fmtid="{D5CDD505-2E9C-101B-9397-08002B2CF9AE}" pid="10" name="MSIP_Label_6bd9ddd1-4d20-43f6-abfa-fc3c07406f94_SiteId">
    <vt:lpwstr>b24c8b06-522c-46fe-9080-70926f8dddb1</vt:lpwstr>
  </property>
</Properties>
</file>