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100" w:after="100"/>
        <w:jc w:val="center"/>
        <w:rPr>
          <w:highlight w:val="none"/>
          <w:shd w:fill="auto" w:val="clear"/>
        </w:rPr>
      </w:pPr>
      <w:r>
        <w:rPr>
          <w:b/>
          <w:sz w:val="28"/>
          <w:szCs w:val="28"/>
          <w:shd w:fill="auto" w:val="clear"/>
          <w:lang w:val="en-GB"/>
        </w:rPr>
        <w:t>Additional information about the Contract Notice</w:t>
      </w:r>
    </w:p>
    <w:p>
      <w:pPr>
        <w:pStyle w:val="Normal"/>
        <w:jc w:val="center"/>
        <w:rPr>
          <w:b/>
          <w:sz w:val="28"/>
          <w:szCs w:val="28"/>
          <w:highlight w:val="none"/>
          <w:shd w:fill="auto" w:val="clear"/>
          <w:lang w:val="en-GB"/>
        </w:rPr>
      </w:pPr>
      <w:r>
        <w:rPr>
          <w:b/>
          <w:sz w:val="28"/>
          <w:szCs w:val="28"/>
          <w:shd w:fill="auto" w:val="clear"/>
          <w:lang w:val="en-GB"/>
        </w:rPr>
      </w:r>
    </w:p>
    <w:p>
      <w:pPr>
        <w:pStyle w:val="Normal"/>
        <w:jc w:val="center"/>
        <w:rPr/>
      </w:pPr>
      <w:r>
        <w:rPr>
          <w:rStyle w:val="Strong"/>
          <w:sz w:val="28"/>
          <w:szCs w:val="28"/>
          <w:shd w:fill="auto" w:val="clear"/>
          <w:lang w:val="en-GB"/>
        </w:rPr>
        <w:t>“</w:t>
      </w:r>
      <w:r>
        <w:rPr>
          <w:rStyle w:val="Strong"/>
          <w:sz w:val="28"/>
          <w:szCs w:val="28"/>
          <w:shd w:fill="auto" w:val="clear"/>
          <w:lang w:val="en-GB"/>
        </w:rPr>
        <w:t xml:space="preserve">Construction of </w:t>
      </w:r>
      <w:r>
        <w:rPr>
          <w:rStyle w:val="Strong"/>
          <w:sz w:val="28"/>
          <w:szCs w:val="28"/>
          <w:shd w:fill="auto" w:val="clear"/>
        </w:rPr>
        <w:t>Adrenaline Park With Associated Facilities (Temporary Structures)”</w:t>
      </w:r>
    </w:p>
    <w:p>
      <w:pPr>
        <w:pStyle w:val="Normal"/>
        <w:spacing w:before="100" w:after="240"/>
        <w:jc w:val="center"/>
        <w:rPr>
          <w:highlight w:val="none"/>
          <w:shd w:fill="auto" w:val="clear"/>
        </w:rPr>
      </w:pPr>
      <w:r>
        <w:rPr>
          <w:b/>
          <w:szCs w:val="24"/>
          <w:shd w:fill="auto" w:val="clear"/>
          <w:lang w:val="en-GB"/>
        </w:rPr>
        <w:t>Kalin Kamen, Kriva Palanka, Republic of North Macedonia</w:t>
      </w:r>
    </w:p>
    <w:p>
      <w:pPr>
        <w:pStyle w:val="Normal"/>
        <w:spacing w:before="100" w:after="240"/>
        <w:jc w:val="center"/>
        <w:rPr>
          <w:szCs w:val="24"/>
          <w:highlight w:val="none"/>
          <w:shd w:fill="auto" w:val="clear"/>
          <w:lang w:val="en-GB"/>
        </w:rPr>
      </w:pPr>
      <w:r>
        <w:rPr>
          <w:szCs w:val="24"/>
          <w:shd w:fill="auto" w:val="clear"/>
          <w:lang w:val="en-GB"/>
        </w:rPr>
      </w:r>
    </w:p>
    <w:p>
      <w:pPr>
        <w:pStyle w:val="PRAGHeading2"/>
        <w:keepNext w:val="true"/>
        <w:numPr>
          <w:ilvl w:val="0"/>
          <w:numId w:val="2"/>
        </w:numPr>
        <w:spacing w:lineRule="atLeast" w:line="240" w:before="240" w:after="120"/>
        <w:ind w:hanging="425" w:left="425"/>
        <w:rPr/>
      </w:pPr>
      <w:r>
        <w:rPr>
          <w:rStyle w:val="Strong"/>
          <w:sz w:val="22"/>
          <w:szCs w:val="22"/>
          <w:shd w:fill="auto" w:val="clear"/>
          <w:lang w:val="en-GB"/>
        </w:rPr>
        <w:t>Nature of contract</w:t>
      </w:r>
    </w:p>
    <w:p>
      <w:pPr>
        <w:pStyle w:val="PRAGHeading2"/>
        <w:numPr>
          <w:ilvl w:val="0"/>
          <w:numId w:val="0"/>
        </w:numPr>
        <w:ind w:hanging="0" w:left="425"/>
        <w:jc w:val="both"/>
        <w:rPr>
          <w:highlight w:val="none"/>
          <w:shd w:fill="auto" w:val="clear"/>
        </w:rPr>
      </w:pPr>
      <w:r>
        <w:rPr>
          <w:sz w:val="22"/>
          <w:szCs w:val="22"/>
          <w:shd w:fill="auto" w:val="clear"/>
        </w:rPr>
        <w:t>Lump sum</w:t>
      </w:r>
    </w:p>
    <w:p>
      <w:pPr>
        <w:pStyle w:val="PRAGHeading2"/>
        <w:numPr>
          <w:ilvl w:val="0"/>
          <w:numId w:val="2"/>
        </w:numPr>
        <w:spacing w:lineRule="atLeast" w:line="240" w:before="240" w:after="120"/>
        <w:ind w:hanging="425" w:left="425"/>
        <w:rPr/>
      </w:pPr>
      <w:r>
        <w:rPr>
          <w:rStyle w:val="Strong"/>
          <w:sz w:val="22"/>
          <w:szCs w:val="22"/>
          <w:shd w:fill="auto" w:val="clear"/>
          <w:lang w:val="en-GB"/>
        </w:rPr>
        <w:t>Programme title</w:t>
      </w:r>
    </w:p>
    <w:p>
      <w:pPr>
        <w:pStyle w:val="PRAGHeading2"/>
        <w:numPr>
          <w:ilvl w:val="0"/>
          <w:numId w:val="0"/>
        </w:numPr>
        <w:ind w:hanging="0" w:left="425"/>
        <w:rPr>
          <w:highlight w:val="none"/>
          <w:shd w:fill="auto" w:val="clear"/>
        </w:rPr>
      </w:pPr>
      <w:r>
        <w:rPr>
          <w:sz w:val="22"/>
          <w:szCs w:val="22"/>
          <w:shd w:fill="auto" w:val="clear"/>
        </w:rPr>
        <w:t>Interreg VI-A IPA Bulgaria - North Macedonia Programme 2021 – 2027 CCI 2021TC16IPCB006.</w:t>
      </w:r>
    </w:p>
    <w:p>
      <w:pPr>
        <w:pStyle w:val="PRAGHeading2"/>
        <w:numPr>
          <w:ilvl w:val="0"/>
          <w:numId w:val="2"/>
        </w:numPr>
        <w:spacing w:lineRule="atLeast" w:line="240" w:before="240" w:after="120"/>
        <w:ind w:hanging="425" w:left="425"/>
        <w:rPr/>
      </w:pPr>
      <w:r>
        <w:rPr>
          <w:rStyle w:val="Strong"/>
          <w:sz w:val="22"/>
          <w:szCs w:val="22"/>
          <w:shd w:fill="auto" w:val="clear"/>
          <w:lang w:val="en-GB"/>
        </w:rPr>
        <w:t>Financing</w:t>
      </w:r>
    </w:p>
    <w:p>
      <w:pPr>
        <w:pStyle w:val="PRAGHeading2"/>
        <w:numPr>
          <w:ilvl w:val="0"/>
          <w:numId w:val="0"/>
        </w:numPr>
        <w:ind w:hanging="0" w:left="425"/>
        <w:rPr>
          <w:highlight w:val="none"/>
          <w:shd w:fill="auto" w:val="clear"/>
        </w:rPr>
      </w:pPr>
      <w:r>
        <w:rPr>
          <w:sz w:val="22"/>
          <w:szCs w:val="22"/>
          <w:shd w:fill="auto" w:val="clear"/>
        </w:rPr>
        <w:t>Interreg VI-A IPA Bulgaria - North Macedonia Programme, approved with Commission Implementing Decision C(2022) 8880 of 29.11.2022.</w:t>
      </w:r>
    </w:p>
    <w:p>
      <w:pPr>
        <w:pStyle w:val="PRAGHeading2"/>
        <w:numPr>
          <w:ilvl w:val="0"/>
          <w:numId w:val="0"/>
        </w:numPr>
        <w:ind w:firstLine="425" w:left="0"/>
        <w:jc w:val="both"/>
        <w:rPr>
          <w:highlight w:val="none"/>
          <w:shd w:fill="auto" w:val="clear"/>
        </w:rPr>
      </w:pPr>
      <w:r>
        <w:rPr>
          <w:sz w:val="22"/>
          <w:szCs w:val="22"/>
          <w:shd w:fill="auto" w:val="clear"/>
        </w:rPr>
        <w:t>Grant contract ref. no. RD02-29-</w:t>
      </w:r>
      <w:r>
        <w:rPr>
          <w:sz w:val="22"/>
          <w:szCs w:val="22"/>
          <w:shd w:fill="auto" w:val="clear"/>
          <w:lang w:val="en-GB"/>
        </w:rPr>
        <w:t>254/07.03.2025.</w:t>
      </w:r>
    </w:p>
    <w:p>
      <w:pPr>
        <w:pStyle w:val="PRAGHeading2"/>
        <w:numPr>
          <w:ilvl w:val="0"/>
          <w:numId w:val="0"/>
        </w:numPr>
        <w:ind w:firstLine="425" w:left="0" w:right="357"/>
        <w:rPr>
          <w:highlight w:val="none"/>
          <w:shd w:fill="auto" w:val="clear"/>
        </w:rPr>
      </w:pPr>
      <w:r>
        <w:rPr>
          <w:sz w:val="22"/>
          <w:szCs w:val="22"/>
          <w:shd w:fill="auto" w:val="clear"/>
        </w:rPr>
        <w:t xml:space="preserve">BL-6 : Works </w:t>
      </w:r>
    </w:p>
    <w:p>
      <w:pPr>
        <w:pStyle w:val="PRAGHeading2"/>
        <w:numPr>
          <w:ilvl w:val="0"/>
          <w:numId w:val="2"/>
        </w:numPr>
        <w:spacing w:lineRule="atLeast" w:line="240" w:before="240" w:after="120"/>
        <w:ind w:hanging="425" w:left="425"/>
        <w:rPr/>
      </w:pPr>
      <w:r>
        <w:rPr>
          <w:rStyle w:val="Strong"/>
          <w:sz w:val="22"/>
          <w:szCs w:val="22"/>
          <w:shd w:fill="auto" w:val="clear"/>
          <w:lang w:val="en-GB"/>
        </w:rPr>
        <w:t>Legal basis, eligibility and rules of origin</w:t>
      </w:r>
    </w:p>
    <w:p>
      <w:pPr>
        <w:pStyle w:val="PRAGHeading2"/>
        <w:numPr>
          <w:ilvl w:val="0"/>
          <w:numId w:val="0"/>
        </w:numPr>
        <w:ind w:hanging="0" w:left="425"/>
        <w:jc w:val="both"/>
        <w:rPr/>
      </w:pPr>
      <w:r>
        <w:rPr>
          <w:sz w:val="22"/>
          <w:szCs w:val="22"/>
          <w:shd w:fill="auto" w:val="clear"/>
        </w:rPr>
        <w:t>The legal basis of this procedure is Regulation (EU) No 2021/1529 establishing the Instrument for Pre-accession Assistance (IPA III). See</w:t>
      </w:r>
      <w:r>
        <w:rPr>
          <w:rStyle w:val="normaltextrun"/>
          <w:sz w:val="22"/>
          <w:szCs w:val="22"/>
          <w:shd w:fill="auto" w:val="clear"/>
          <w:lang w:val="en-GB"/>
        </w:rPr>
        <w:t xml:space="preserve"> Annex a2a1 of the practical guide.</w:t>
      </w:r>
    </w:p>
    <w:p>
      <w:pPr>
        <w:pStyle w:val="PRAGHeading2"/>
        <w:numPr>
          <w:ilvl w:val="0"/>
          <w:numId w:val="0"/>
        </w:numPr>
        <w:ind w:hanging="0" w:left="425"/>
        <w:jc w:val="both"/>
        <w:rPr>
          <w:highlight w:val="none"/>
          <w:shd w:fill="auto" w:val="clear"/>
        </w:rPr>
      </w:pPr>
      <w:r>
        <w:rPr>
          <w:sz w:val="22"/>
          <w:szCs w:val="22"/>
          <w:shd w:fill="auto" w:val="clear"/>
        </w:rPr>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11 of Regulation (EU) No 2021/1529 establishing the Instrument for Pre-accession Assistance (IPA III).</w:t>
      </w:r>
    </w:p>
    <w:p>
      <w:pPr>
        <w:pStyle w:val="PRAGHeading2"/>
        <w:numPr>
          <w:ilvl w:val="0"/>
          <w:numId w:val="0"/>
        </w:numPr>
        <w:ind w:hanging="0" w:left="425"/>
        <w:jc w:val="both"/>
        <w:rPr>
          <w:highlight w:val="none"/>
          <w:shd w:fill="auto" w:val="clear"/>
        </w:rPr>
      </w:pPr>
      <w:r>
        <w:rPr>
          <w:sz w:val="22"/>
          <w:szCs w:val="22"/>
          <w:shd w:fill="auto" w:val="clear"/>
        </w:rPr>
        <w:t>Interreg VI-A IPA Bulgaria - North Macedonia Programme, approved with Commission Implementing Decision C(2022) 8880 of 29.11.2022.</w:t>
      </w:r>
    </w:p>
    <w:p>
      <w:pPr>
        <w:pStyle w:val="PRAGHeading2"/>
        <w:numPr>
          <w:ilvl w:val="0"/>
          <w:numId w:val="0"/>
        </w:numPr>
        <w:ind w:hanging="0" w:left="425"/>
        <w:jc w:val="both"/>
        <w:rPr>
          <w:highlight w:val="none"/>
          <w:shd w:fill="auto" w:val="clear"/>
        </w:rPr>
      </w:pPr>
      <w:r>
        <w:rPr>
          <w:sz w:val="22"/>
          <w:szCs w:val="22"/>
          <w:shd w:fill="auto" w:val="clear"/>
        </w:rPr>
        <w:t>Interreg VI-A IPA Bulgaria - North Macedonia Programme 2021 – 2027 CCI 2021TC16IPCB006.</w:t>
      </w:r>
    </w:p>
    <w:p>
      <w:pPr>
        <w:pStyle w:val="PRAGHeading2"/>
        <w:numPr>
          <w:ilvl w:val="0"/>
          <w:numId w:val="0"/>
        </w:numPr>
        <w:ind w:firstLine="425" w:left="0"/>
        <w:jc w:val="both"/>
        <w:rPr>
          <w:highlight w:val="none"/>
          <w:shd w:fill="auto" w:val="clear"/>
        </w:rPr>
      </w:pPr>
      <w:r>
        <w:rPr>
          <w:sz w:val="22"/>
          <w:szCs w:val="22"/>
          <w:shd w:fill="auto" w:val="clear"/>
        </w:rPr>
        <w:t>Grant contract ref. no. RD02-29-</w:t>
      </w:r>
      <w:r>
        <w:rPr>
          <w:sz w:val="22"/>
          <w:szCs w:val="22"/>
          <w:shd w:fill="auto" w:val="clear"/>
          <w:lang w:val="en-GB"/>
        </w:rPr>
        <w:t>254/07.03.2025.</w:t>
      </w:r>
    </w:p>
    <w:p>
      <w:pPr>
        <w:pStyle w:val="paragraph"/>
        <w:spacing w:lineRule="atLeast" w:line="240" w:beforeAutospacing="0" w:before="0" w:afterAutospacing="0" w:after="120"/>
        <w:ind w:left="426"/>
        <w:jc w:val="both"/>
        <w:textAlignment w:val="baseline"/>
        <w:rPr>
          <w:highlight w:val="none"/>
          <w:shd w:fill="auto" w:val="clear"/>
        </w:rPr>
      </w:pPr>
      <w:r>
        <w:rPr>
          <w:iCs/>
          <w:sz w:val="22"/>
          <w:szCs w:val="22"/>
          <w:shd w:fill="auto" w:val="clear"/>
          <w:lang w:val="en-IE"/>
        </w:rPr>
        <w:t xml:space="preserve">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11 of Regulation (EU) No 2021/1529 establishing the Instrument for Pre-accession Assistance (IPA III). </w:t>
      </w:r>
    </w:p>
    <w:p>
      <w:pPr>
        <w:pStyle w:val="Normal"/>
        <w:spacing w:lineRule="atLeast" w:line="240" w:before="0" w:after="120"/>
        <w:ind w:left="426"/>
        <w:jc w:val="both"/>
        <w:rPr>
          <w:highlight w:val="none"/>
          <w:shd w:fill="auto" w:val="clear"/>
        </w:rPr>
      </w:pPr>
      <w:bookmarkStart w:id="0" w:name="_Hlk168489221"/>
      <w:bookmarkEnd w:id="0"/>
      <w:r>
        <w:rPr>
          <w:iCs/>
          <w:sz w:val="22"/>
          <w:szCs w:val="22"/>
          <w:shd w:fill="auto" w:val="clear"/>
          <w:lang w:val="en-IE"/>
        </w:rPr>
        <w:t>Participation is also open to international and regional organisations.</w:t>
      </w:r>
    </w:p>
    <w:p>
      <w:pPr>
        <w:pStyle w:val="PRAGHeading2"/>
        <w:numPr>
          <w:ilvl w:val="0"/>
          <w:numId w:val="2"/>
        </w:numPr>
        <w:spacing w:lineRule="atLeast" w:line="240" w:before="240" w:after="120"/>
        <w:ind w:hanging="425" w:left="425"/>
        <w:rPr/>
      </w:pPr>
      <w:bookmarkStart w:id="1" w:name="_Hlk168489221_Copy_1"/>
      <w:bookmarkStart w:id="2" w:name="_DV_M201"/>
      <w:bookmarkEnd w:id="1"/>
      <w:bookmarkEnd w:id="2"/>
      <w:r>
        <w:rPr>
          <w:rStyle w:val="Strong"/>
          <w:sz w:val="22"/>
          <w:szCs w:val="22"/>
          <w:shd w:fill="auto" w:val="clear"/>
          <w:lang w:val="en-GB"/>
        </w:rPr>
        <w:t xml:space="preserve">Candidature </w:t>
      </w:r>
    </w:p>
    <w:p>
      <w:pPr>
        <w:pStyle w:val="PRAGHeading2"/>
        <w:numPr>
          <w:ilvl w:val="0"/>
          <w:numId w:val="0"/>
        </w:numPr>
        <w:spacing w:lineRule="atLeast" w:line="240" w:before="0" w:after="120"/>
        <w:ind w:hanging="0" w:left="426"/>
        <w:jc w:val="both"/>
        <w:rPr/>
      </w:pPr>
      <w:r>
        <w:rPr>
          <w:rStyle w:val="Strong"/>
          <w:b w:val="false"/>
          <w:sz w:val="22"/>
          <w:szCs w:val="22"/>
          <w:shd w:fill="auto" w:val="clear"/>
          <w:lang w:val="en-GB"/>
        </w:rPr>
        <w:t>All eligible natural and legal persons (as per item 4 above) or groupings of such persons (consortia) may participate or tender.</w:t>
      </w:r>
    </w:p>
    <w:p>
      <w:pPr>
        <w:pStyle w:val="PRAGHeading2"/>
        <w:numPr>
          <w:ilvl w:val="0"/>
          <w:numId w:val="0"/>
        </w:numPr>
        <w:spacing w:lineRule="atLeast" w:line="240" w:before="0" w:after="120"/>
        <w:ind w:hanging="0" w:left="426"/>
        <w:jc w:val="both"/>
        <w:rPr/>
      </w:pPr>
      <w:r>
        <w:rPr>
          <w:rStyle w:val="Strong"/>
          <w:b w:val="false"/>
          <w:sz w:val="22"/>
          <w:szCs w:val="22"/>
          <w:shd w:fill="auto" w:val="clear"/>
          <w:lang w:val="en-GB"/>
        </w:rPr>
        <w:t>A consortium may be a permanent, legally established grouping or a grouping which has been constituted informally for a specific procurement procedure. All members of a consortium (i.e., the leader and all other members) are jointly and severally liable to the contracting authority.</w:t>
      </w:r>
    </w:p>
    <w:p>
      <w:pPr>
        <w:pStyle w:val="PRAGHeading2"/>
        <w:numPr>
          <w:ilvl w:val="0"/>
          <w:numId w:val="0"/>
        </w:numPr>
        <w:spacing w:lineRule="atLeast" w:line="240" w:before="0" w:after="120"/>
        <w:ind w:hanging="0" w:left="426"/>
        <w:jc w:val="both"/>
        <w:rPr/>
      </w:pPr>
      <w:r>
        <w:rPr>
          <w:rStyle w:val="Strong"/>
          <w:b w:val="false"/>
          <w:sz w:val="22"/>
          <w:szCs w:val="22"/>
          <w:shd w:fill="auto" w:val="clear"/>
          <w:lang w:val="en-GB"/>
        </w:rPr>
        <w:t xml:space="preserve">The participation or tender of an ineligible natural or legal person will result in the automatic exclusion of that person. In particular, if that ineligible person belongs to a consortium, the whole consortium will be excluded. </w:t>
      </w:r>
    </w:p>
    <w:p>
      <w:pPr>
        <w:pStyle w:val="PRAGHeading2"/>
        <w:numPr>
          <w:ilvl w:val="0"/>
          <w:numId w:val="2"/>
        </w:numPr>
        <w:spacing w:lineRule="atLeast" w:line="240" w:before="240" w:after="120"/>
        <w:ind w:hanging="425" w:left="425"/>
        <w:rPr/>
      </w:pPr>
      <w:r>
        <w:rPr>
          <w:rStyle w:val="Strong"/>
          <w:sz w:val="22"/>
          <w:szCs w:val="22"/>
          <w:shd w:fill="auto" w:val="clear"/>
          <w:lang w:val="en-GB"/>
        </w:rPr>
        <w:t>Number of requests to participate or tenders</w:t>
      </w:r>
    </w:p>
    <w:p>
      <w:pPr>
        <w:pStyle w:val="PRAGHeading2"/>
        <w:numPr>
          <w:ilvl w:val="0"/>
          <w:numId w:val="0"/>
        </w:numPr>
        <w:spacing w:lineRule="atLeast" w:line="240" w:before="0" w:after="120"/>
        <w:ind w:hanging="0" w:left="426"/>
        <w:jc w:val="both"/>
        <w:rPr/>
      </w:pPr>
      <w:r>
        <w:rPr>
          <w:rStyle w:val="Strong"/>
          <w:b w:val="false"/>
          <w:sz w:val="22"/>
          <w:szCs w:val="22"/>
          <w:shd w:fill="auto" w:val="clear"/>
          <w:lang w:val="en-GB"/>
        </w:rPr>
        <w:t xml:space="preserve">No more than one request to participate or tender can be submitted by a natural or legal person whatever the form of participation (as an individual legal entity or as leader or member of a consortium submitting a request to participate or tender). In the event that a natural or legal person submits more than one request to participate or tender, all requests to participate or tenders in which that person has participated will be excluded. </w:t>
      </w:r>
    </w:p>
    <w:p>
      <w:pPr>
        <w:pStyle w:val="Blockquote"/>
        <w:spacing w:lineRule="atLeast" w:line="240" w:before="0" w:after="120"/>
        <w:ind w:left="426" w:right="-48"/>
        <w:jc w:val="both"/>
        <w:rPr>
          <w:highlight w:val="none"/>
          <w:shd w:fill="auto" w:val="clear"/>
        </w:rPr>
      </w:pPr>
      <w:r>
        <w:rPr>
          <w:sz w:val="22"/>
          <w:szCs w:val="22"/>
          <w:shd w:fill="auto" w:val="clear"/>
          <w:lang w:val="en-GB"/>
        </w:rPr>
        <w:t>In case of lots, the candidates or tenderers may submit only one request to participate or tender per lot. Contracts will be awarded lot by lot and each lot will form a separate contract</w:t>
      </w:r>
      <w:bookmarkStart w:id="3" w:name="_Hlk166747125"/>
      <w:r>
        <w:rPr>
          <w:sz w:val="22"/>
          <w:szCs w:val="22"/>
          <w:shd w:fill="auto" w:val="clear"/>
          <w:lang w:val="en-GB"/>
        </w:rPr>
        <w:t>. If the tenderer is awarded more than one lot, a single contract may be concluded covering all those lots.</w:t>
      </w:r>
      <w:bookmarkEnd w:id="3"/>
    </w:p>
    <w:p>
      <w:pPr>
        <w:pStyle w:val="PRAGHeading2"/>
        <w:numPr>
          <w:ilvl w:val="0"/>
          <w:numId w:val="2"/>
        </w:numPr>
        <w:spacing w:lineRule="atLeast" w:line="240" w:before="240" w:after="120"/>
        <w:ind w:hanging="426" w:left="426"/>
        <w:rPr/>
      </w:pPr>
      <w:r>
        <w:rPr>
          <w:rStyle w:val="Strong"/>
          <w:sz w:val="22"/>
          <w:szCs w:val="22"/>
          <w:shd w:fill="auto" w:val="clear"/>
          <w:lang w:val="en-GB"/>
        </w:rPr>
        <w:t xml:space="preserve">Sub-contracting </w:t>
      </w:r>
    </w:p>
    <w:p>
      <w:pPr>
        <w:pStyle w:val="PRAGHeading2"/>
        <w:numPr>
          <w:ilvl w:val="0"/>
          <w:numId w:val="0"/>
        </w:numPr>
        <w:spacing w:lineRule="atLeast" w:line="240" w:before="0" w:after="120"/>
        <w:ind w:hanging="0" w:left="426"/>
        <w:rPr/>
      </w:pPr>
      <w:r>
        <w:rPr>
          <w:rStyle w:val="Emphasis"/>
          <w:i w:val="false"/>
          <w:sz w:val="22"/>
          <w:szCs w:val="22"/>
          <w:shd w:fill="auto" w:val="clear"/>
        </w:rPr>
        <w:t>Sub-contracting is allowed.</w:t>
      </w:r>
    </w:p>
    <w:p>
      <w:pPr>
        <w:pStyle w:val="PRAGHeading2"/>
        <w:numPr>
          <w:ilvl w:val="0"/>
          <w:numId w:val="2"/>
        </w:numPr>
        <w:spacing w:lineRule="atLeast" w:line="240" w:before="240" w:after="120"/>
        <w:ind w:hanging="426" w:left="426"/>
        <w:rPr/>
      </w:pPr>
      <w:r>
        <w:rPr>
          <w:rStyle w:val="Strong"/>
          <w:sz w:val="22"/>
          <w:szCs w:val="22"/>
          <w:shd w:fill="auto" w:val="clear"/>
          <w:lang w:val="en-GB"/>
        </w:rPr>
        <w:t>P</w:t>
      </w:r>
      <w:r>
        <w:rPr>
          <w:rStyle w:val="Strong"/>
          <w:shd w:fill="auto" w:val="clear"/>
          <w:lang w:val="en-GB"/>
        </w:rPr>
        <w:t>eriod of implementation of tasks</w:t>
      </w:r>
    </w:p>
    <w:p>
      <w:pPr>
        <w:pStyle w:val="PRAGHeading2"/>
        <w:numPr>
          <w:ilvl w:val="0"/>
          <w:numId w:val="0"/>
        </w:numPr>
        <w:ind w:firstLine="426" w:left="0"/>
        <w:rPr>
          <w:highlight w:val="none"/>
          <w:shd w:fill="auto" w:val="clear"/>
        </w:rPr>
      </w:pPr>
      <w:r>
        <w:rPr>
          <w:sz w:val="22"/>
          <w:szCs w:val="22"/>
          <w:shd w:fill="auto" w:val="clear"/>
        </w:rPr>
        <w:t xml:space="preserve">Maximum </w:t>
      </w:r>
      <w:r>
        <w:rPr>
          <w:sz w:val="22"/>
          <w:szCs w:val="22"/>
          <w:shd w:fill="auto" w:val="clear"/>
        </w:rPr>
        <w:t>12</w:t>
      </w:r>
      <w:r>
        <w:rPr>
          <w:sz w:val="22"/>
          <w:szCs w:val="22"/>
          <w:shd w:fill="auto" w:val="clear"/>
        </w:rPr>
        <w:t xml:space="preserve"> months after signing of the contract, but not later than </w:t>
      </w:r>
      <w:r>
        <w:rPr>
          <w:sz w:val="22"/>
          <w:szCs w:val="22"/>
          <w:shd w:fill="auto" w:val="clear"/>
        </w:rPr>
        <w:t>01</w:t>
      </w:r>
      <w:r>
        <w:rPr>
          <w:sz w:val="22"/>
          <w:szCs w:val="22"/>
          <w:shd w:fill="auto" w:val="clear"/>
        </w:rPr>
        <w:t>.</w:t>
      </w:r>
      <w:r>
        <w:rPr>
          <w:sz w:val="22"/>
          <w:szCs w:val="22"/>
          <w:shd w:fill="auto" w:val="clear"/>
        </w:rPr>
        <w:t>10</w:t>
      </w:r>
      <w:r>
        <w:rPr>
          <w:sz w:val="22"/>
          <w:szCs w:val="22"/>
          <w:shd w:fill="auto" w:val="clear"/>
        </w:rPr>
        <w:t>.202</w:t>
      </w:r>
      <w:r>
        <w:rPr>
          <w:sz w:val="22"/>
          <w:szCs w:val="22"/>
          <w:shd w:fill="auto" w:val="clear"/>
        </w:rPr>
        <w:t>6</w:t>
      </w:r>
      <w:r>
        <w:rPr>
          <w:sz w:val="22"/>
          <w:szCs w:val="22"/>
          <w:shd w:fill="auto" w:val="clear"/>
        </w:rPr>
        <w:t>.</w:t>
      </w:r>
    </w:p>
    <w:p>
      <w:pPr>
        <w:pStyle w:val="PRAGHeading2"/>
        <w:numPr>
          <w:ilvl w:val="0"/>
          <w:numId w:val="2"/>
        </w:numPr>
        <w:spacing w:lineRule="atLeast" w:line="240" w:before="240" w:after="120"/>
        <w:ind w:hanging="426" w:left="426"/>
        <w:rPr/>
      </w:pPr>
      <w:r>
        <w:rPr>
          <w:rStyle w:val="Strong"/>
          <w:sz w:val="22"/>
          <w:szCs w:val="22"/>
          <w:shd w:fill="auto" w:val="clear"/>
          <w:lang w:val="en-GB"/>
        </w:rPr>
        <w:t>Language of the procedure</w:t>
      </w:r>
    </w:p>
    <w:p>
      <w:pPr>
        <w:pStyle w:val="Normal"/>
        <w:spacing w:lineRule="atLeast" w:line="240" w:before="0" w:after="120"/>
        <w:ind w:left="426"/>
        <w:jc w:val="both"/>
        <w:rPr>
          <w:highlight w:val="none"/>
          <w:shd w:fill="auto" w:val="clear"/>
        </w:rPr>
      </w:pPr>
      <w:r>
        <w:rPr>
          <w:sz w:val="22"/>
          <w:szCs w:val="22"/>
          <w:shd w:fill="auto" w:val="clear"/>
          <w:lang w:val="en-GB"/>
        </w:rPr>
        <w:t xml:space="preserve">All written communications for this tender procedure and contract must be in English. </w:t>
      </w:r>
    </w:p>
    <w:p>
      <w:pPr>
        <w:pStyle w:val="PRAGHeading2"/>
        <w:numPr>
          <w:ilvl w:val="0"/>
          <w:numId w:val="2"/>
        </w:numPr>
        <w:tabs>
          <w:tab w:val="clear" w:pos="720"/>
          <w:tab w:val="left" w:pos="426" w:leader="none"/>
        </w:tabs>
        <w:spacing w:lineRule="atLeast" w:line="240" w:before="240" w:after="120"/>
        <w:ind w:hanging="567" w:left="567"/>
        <w:rPr/>
      </w:pPr>
      <w:r>
        <w:rPr>
          <w:rStyle w:val="Strong"/>
          <w:sz w:val="22"/>
          <w:szCs w:val="22"/>
          <w:shd w:fill="auto" w:val="clear"/>
          <w:lang w:val="en-GB"/>
        </w:rPr>
        <w:t>Additional information</w:t>
      </w:r>
    </w:p>
    <w:p>
      <w:pPr>
        <w:pStyle w:val="PRAGHeading2"/>
        <w:numPr>
          <w:ilvl w:val="0"/>
          <w:numId w:val="0"/>
        </w:numPr>
        <w:spacing w:lineRule="atLeast" w:line="240" w:before="0" w:after="120"/>
        <w:ind w:hanging="0" w:left="426"/>
        <w:jc w:val="both"/>
        <w:rPr>
          <w:highlight w:val="none"/>
          <w:shd w:fill="auto" w:val="clear"/>
        </w:rPr>
      </w:pPr>
      <w:r>
        <w:rPr>
          <w:sz w:val="22"/>
          <w:szCs w:val="22"/>
          <w:shd w:fill="auto" w:val="clear"/>
          <w:lang w:val="en-GB"/>
        </w:rPr>
        <w:t>Financial data to be provided by the candidate in the request to participate form or in the tender submission form must be expressed in EUR.</w:t>
      </w:r>
    </w:p>
    <w:p>
      <w:pPr>
        <w:pStyle w:val="Normal"/>
        <w:keepNext w:val="true"/>
        <w:keepLines/>
        <w:spacing w:lineRule="atLeast" w:line="240" w:before="0" w:after="120"/>
        <w:rPr>
          <w:sz w:val="22"/>
          <w:szCs w:val="22"/>
          <w:highlight w:val="none"/>
          <w:shd w:fill="auto" w:val="clear"/>
          <w:lang w:val="en-GB"/>
        </w:rPr>
      </w:pPr>
      <w:r>
        <w:rPr>
          <w:sz w:val="22"/>
          <w:szCs w:val="22"/>
          <w:shd w:fill="auto" w:val="clear"/>
          <w:lang w:val="en-GB"/>
        </w:rPr>
      </w:r>
    </w:p>
    <w:p>
      <w:pPr>
        <w:pStyle w:val="Normal"/>
        <w:keepNext w:val="true"/>
        <w:keepLines/>
        <w:spacing w:lineRule="atLeast" w:line="240" w:before="0" w:after="120"/>
        <w:rPr/>
      </w:pPr>
      <w:r>
        <w:rPr>
          <w:rStyle w:val="Strong"/>
          <w:sz w:val="22"/>
          <w:szCs w:val="22"/>
          <w:shd w:fill="auto" w:val="clear"/>
          <w:lang w:val="en-GB"/>
        </w:rPr>
        <w:t>SELECTION AND AWARD CRITERIA</w:t>
      </w:r>
    </w:p>
    <w:p>
      <w:pPr>
        <w:pStyle w:val="PRAGHeading2"/>
        <w:numPr>
          <w:ilvl w:val="0"/>
          <w:numId w:val="2"/>
        </w:numPr>
        <w:spacing w:lineRule="atLeast" w:line="240" w:before="360" w:after="120"/>
        <w:ind w:hanging="425" w:left="425"/>
        <w:rPr/>
      </w:pPr>
      <w:r>
        <w:rPr>
          <w:rStyle w:val="Strong"/>
          <w:sz w:val="22"/>
          <w:szCs w:val="22"/>
          <w:shd w:fill="auto" w:val="clear"/>
          <w:lang w:val="en-GB"/>
        </w:rPr>
        <w:t>Selection criteria</w:t>
      </w:r>
    </w:p>
    <w:p>
      <w:pPr>
        <w:pStyle w:val="PRAGHeading2"/>
        <w:numPr>
          <w:ilvl w:val="0"/>
          <w:numId w:val="0"/>
        </w:numPr>
        <w:spacing w:lineRule="atLeast" w:line="240" w:before="0" w:after="120"/>
        <w:ind w:hanging="0" w:left="426"/>
        <w:jc w:val="both"/>
        <w:rPr>
          <w:highlight w:val="none"/>
          <w:shd w:fill="auto" w:val="clear"/>
        </w:rPr>
      </w:pPr>
      <w:r>
        <w:rPr>
          <w:sz w:val="22"/>
          <w:szCs w:val="22"/>
          <w:shd w:fill="auto" w:val="clear"/>
          <w:lang w:val="en-GB"/>
        </w:rPr>
        <w:t>Selection criteria are described in detail in the Contract notice (Annex ds2) points 14 – General selection criteria,  14.a - Economic and financial capacity of candidates and 14.b - Technical and professional capacity of company.</w:t>
      </w:r>
    </w:p>
    <w:p>
      <w:pPr>
        <w:pStyle w:val="PRAGHeading2"/>
        <w:numPr>
          <w:ilvl w:val="0"/>
          <w:numId w:val="0"/>
        </w:numPr>
        <w:spacing w:lineRule="atLeast" w:line="240" w:before="0" w:after="120"/>
        <w:ind w:hanging="0" w:left="426"/>
        <w:jc w:val="both"/>
        <w:rPr>
          <w:highlight w:val="none"/>
          <w:shd w:fill="auto" w:val="clear"/>
        </w:rPr>
      </w:pPr>
      <w:r>
        <w:rPr>
          <w:sz w:val="22"/>
          <w:szCs w:val="22"/>
          <w:shd w:fill="auto" w:val="clear"/>
          <w:lang w:val="en-GB"/>
        </w:rPr>
        <w:t>Selection criteria are also presented in the Instruction to tenderers (Annex d4b_itt) points 12.2, 12.2.1 and 12.2.2.</w:t>
      </w:r>
    </w:p>
    <w:p>
      <w:pPr>
        <w:pStyle w:val="PRAGHeading2"/>
        <w:numPr>
          <w:ilvl w:val="0"/>
          <w:numId w:val="2"/>
        </w:numPr>
        <w:spacing w:lineRule="atLeast" w:line="240" w:before="240" w:after="120"/>
        <w:ind w:hanging="425" w:left="425"/>
        <w:rPr/>
      </w:pPr>
      <w:r>
        <w:rPr>
          <w:rStyle w:val="Strong"/>
          <w:sz w:val="22"/>
          <w:szCs w:val="22"/>
          <w:shd w:fill="auto" w:val="clear"/>
          <w:lang w:val="en-GB"/>
        </w:rPr>
        <w:t>Award criteria</w:t>
      </w:r>
    </w:p>
    <w:p>
      <w:pPr>
        <w:pStyle w:val="Normal"/>
        <w:ind w:left="709"/>
        <w:jc w:val="both"/>
        <w:rPr>
          <w:highlight w:val="none"/>
          <w:shd w:fill="auto" w:val="clear"/>
        </w:rPr>
      </w:pPr>
      <w:r>
        <w:rPr>
          <w:sz w:val="22"/>
          <w:shd w:fill="auto" w:val="clear"/>
          <w:lang w:val="en-GB"/>
        </w:rPr>
        <w:t>The most economically advantageous tender is the technically compliant tender with the lowest price.</w:t>
      </w:r>
    </w:p>
    <w:p>
      <w:pPr>
        <w:pStyle w:val="PRAGHeading2"/>
        <w:numPr>
          <w:ilvl w:val="0"/>
          <w:numId w:val="2"/>
        </w:numPr>
        <w:tabs>
          <w:tab w:val="clear" w:pos="720"/>
          <w:tab w:val="left" w:pos="426" w:leader="none"/>
        </w:tabs>
        <w:spacing w:lineRule="atLeast" w:line="240" w:before="240" w:after="120"/>
        <w:ind w:hanging="567" w:left="567"/>
        <w:rPr/>
      </w:pPr>
      <w:r>
        <w:rPr>
          <w:rStyle w:val="Strong"/>
          <w:sz w:val="22"/>
          <w:szCs w:val="22"/>
          <w:shd w:fill="auto" w:val="clear"/>
          <w:lang w:val="en-GB"/>
        </w:rPr>
        <w:t>Clarifications on the contract notice</w:t>
      </w:r>
    </w:p>
    <w:p>
      <w:pPr>
        <w:pStyle w:val="PRAGHeading2"/>
        <w:numPr>
          <w:ilvl w:val="0"/>
          <w:numId w:val="0"/>
        </w:numPr>
        <w:spacing w:lineRule="atLeast" w:line="240" w:before="0" w:after="120"/>
        <w:ind w:hanging="0" w:left="426"/>
        <w:jc w:val="both"/>
        <w:rPr/>
      </w:pPr>
      <w:r>
        <w:rPr>
          <w:sz w:val="22"/>
          <w:szCs w:val="22"/>
          <w:shd w:fill="auto" w:val="clear"/>
          <w:lang w:val="en-GB"/>
        </w:rPr>
        <w:t>Any request for clarifications must be made in writing or electronic means (e-mail)</w:t>
      </w:r>
      <w:r>
        <w:rPr>
          <w:rStyle w:val="Hyperlink"/>
          <w:i/>
          <w:iCs/>
          <w:color w:val="000000"/>
          <w:sz w:val="22"/>
          <w:szCs w:val="22"/>
          <w:u w:val="none"/>
          <w:shd w:fill="auto" w:val="clear"/>
          <w:lang w:val="en-GB"/>
        </w:rPr>
        <w:t>.</w:t>
      </w:r>
      <w:r>
        <w:rPr>
          <w:rStyle w:val="Hyperlink"/>
          <w:i/>
          <w:iCs/>
          <w:sz w:val="22"/>
          <w:szCs w:val="22"/>
          <w:u w:val="none"/>
          <w:shd w:fill="auto" w:val="clear"/>
          <w:lang w:val="en-GB"/>
        </w:rPr>
        <w:t xml:space="preserve"> </w:t>
      </w:r>
      <w:r>
        <w:rPr>
          <w:sz w:val="22"/>
          <w:szCs w:val="22"/>
          <w:shd w:fill="auto" w:val="clear"/>
          <w:lang w:val="en-GB"/>
        </w:rPr>
        <w:t>This concerns request for clarifications about the contract notice and also request for clarifications about the content of the document called “Additional information to the contract notice.” Clarifications can be requested to the contracting authority at the latest 21 days before the deadline for submission of requests to participate stated in</w:t>
      </w:r>
      <w:r>
        <w:rPr>
          <w:rStyle w:val="Strong"/>
          <w:sz w:val="22"/>
          <w:szCs w:val="22"/>
          <w:shd w:fill="auto" w:val="clear"/>
          <w:lang w:val="en-GB"/>
        </w:rPr>
        <w:t xml:space="preserve"> </w:t>
      </w:r>
      <w:r>
        <w:rPr>
          <w:rStyle w:val="Strong"/>
          <w:b w:val="false"/>
          <w:bCs/>
          <w:sz w:val="22"/>
          <w:szCs w:val="22"/>
          <w:shd w:fill="auto" w:val="clear"/>
          <w:lang w:val="en-GB"/>
        </w:rPr>
        <w:t>the contract notice</w:t>
      </w:r>
      <w:r>
        <w:rPr>
          <w:sz w:val="22"/>
          <w:szCs w:val="22"/>
          <w:shd w:fill="auto" w:val="clear"/>
          <w:lang w:val="en-GB"/>
        </w:rPr>
        <w:t>.</w:t>
      </w:r>
    </w:p>
    <w:p>
      <w:pPr>
        <w:pStyle w:val="PRAGHeading2"/>
        <w:numPr>
          <w:ilvl w:val="0"/>
          <w:numId w:val="0"/>
        </w:numPr>
        <w:spacing w:lineRule="atLeast" w:line="240" w:before="0" w:after="120"/>
        <w:ind w:hanging="0" w:left="426"/>
        <w:jc w:val="both"/>
        <w:rPr/>
      </w:pPr>
      <w:r>
        <w:rPr>
          <w:sz w:val="22"/>
          <w:szCs w:val="22"/>
          <w:shd w:fill="auto" w:val="clear"/>
          <w:lang w:val="en-GB"/>
        </w:rPr>
        <w:t xml:space="preserve">Clarifications will be </w:t>
      </w:r>
      <w:r>
        <w:rPr>
          <w:sz w:val="22"/>
          <w:szCs w:val="22"/>
          <w:shd w:fill="auto" w:val="clear"/>
          <w:lang w:val="en-IE"/>
        </w:rPr>
        <w:t xml:space="preserve">published by the contracting authority (Municipality of Kriva Palanka) </w:t>
      </w:r>
      <w:r>
        <w:rPr>
          <w:sz w:val="22"/>
          <w:szCs w:val="22"/>
          <w:shd w:fill="auto" w:val="clear"/>
          <w:lang w:val="en-GB"/>
        </w:rPr>
        <w:t>at the latest 8 days before the deadline for the submission of requests to participate. The information will be published on the web portal of the municipality (</w:t>
      </w:r>
      <w:hyperlink r:id="rId2">
        <w:r>
          <w:rPr>
            <w:rStyle w:val="Hyperlink"/>
            <w:sz w:val="22"/>
            <w:szCs w:val="22"/>
            <w:shd w:fill="auto" w:val="clear"/>
            <w:lang w:val="en-GB"/>
          </w:rPr>
          <w:t>https://www.krivapalanka.gov.mk/</w:t>
        </w:r>
      </w:hyperlink>
      <w:r>
        <w:rPr>
          <w:sz w:val="22"/>
          <w:szCs w:val="22"/>
          <w:shd w:fill="auto" w:val="clear"/>
          <w:lang w:val="en-GB"/>
        </w:rPr>
        <w:t xml:space="preserve"> ) and the web portal of the </w:t>
      </w:r>
      <w:r>
        <w:rPr>
          <w:sz w:val="22"/>
          <w:szCs w:val="22"/>
          <w:shd w:fill="auto" w:val="clear"/>
        </w:rPr>
        <w:t>Interreg VI-A IPA Bulgaria - North Macedonia Programme 2021 – 2027 CCI 2021TC16IPCB006 (</w:t>
      </w:r>
      <w:hyperlink r:id="rId3">
        <w:r>
          <w:rPr>
            <w:rStyle w:val="Hyperlink"/>
            <w:sz w:val="22"/>
            <w:szCs w:val="22"/>
            <w:shd w:fill="auto" w:val="clear"/>
          </w:rPr>
          <w:t>https://ipa-bgmk.mrrb.bg/</w:t>
        </w:r>
      </w:hyperlink>
      <w:r>
        <w:rPr>
          <w:sz w:val="22"/>
          <w:szCs w:val="22"/>
          <w:shd w:fill="auto" w:val="clear"/>
        </w:rPr>
        <w:t xml:space="preserve"> ).</w:t>
      </w:r>
      <w:r>
        <w:rPr>
          <w:shd w:fill="auto" w:val="clear"/>
        </w:rPr>
        <w:t xml:space="preserve"> </w:t>
      </w:r>
    </w:p>
    <w:p>
      <w:pPr>
        <w:pStyle w:val="PRAGHeading2"/>
        <w:numPr>
          <w:ilvl w:val="0"/>
          <w:numId w:val="2"/>
        </w:numPr>
        <w:tabs>
          <w:tab w:val="clear" w:pos="720"/>
          <w:tab w:val="left" w:pos="426" w:leader="none"/>
        </w:tabs>
        <w:ind w:hanging="567" w:left="567"/>
        <w:rPr/>
      </w:pPr>
      <w:r>
        <w:rPr>
          <w:rStyle w:val="Strong"/>
          <w:shd w:fill="auto" w:val="clear"/>
          <w:lang w:val="en-GB"/>
        </w:rPr>
        <w:t>Deadline for submission of the tender</w:t>
      </w:r>
    </w:p>
    <w:p>
      <w:pPr>
        <w:pStyle w:val="PRAGHeading2"/>
        <w:numPr>
          <w:ilvl w:val="0"/>
          <w:numId w:val="0"/>
        </w:numPr>
        <w:ind w:hanging="0" w:left="426"/>
        <w:jc w:val="both"/>
        <w:rPr/>
      </w:pPr>
      <w:r>
        <w:rPr>
          <w:rStyle w:val="Emphasis"/>
          <w:i w:val="false"/>
          <w:sz w:val="22"/>
          <w:szCs w:val="22"/>
          <w:shd w:fill="auto" w:val="clear"/>
          <w:lang w:val="en-GB"/>
        </w:rPr>
        <w:t>The tenderer's attention is drawn to the fact that there are two different systems for sending tenders: one is by post or private mail service, the other is by hand delivery.</w:t>
      </w:r>
    </w:p>
    <w:p>
      <w:pPr>
        <w:pStyle w:val="PRAGHeading2"/>
        <w:numPr>
          <w:ilvl w:val="0"/>
          <w:numId w:val="0"/>
        </w:numPr>
        <w:ind w:hanging="0" w:left="426"/>
        <w:jc w:val="both"/>
        <w:rPr/>
      </w:pPr>
      <w:r>
        <w:rPr>
          <w:rStyle w:val="Emphasis"/>
          <w:i w:val="false"/>
          <w:sz w:val="22"/>
          <w:szCs w:val="22"/>
          <w:shd w:fill="auto" w:val="clear"/>
          <w:lang w:val="en-GB"/>
        </w:rPr>
        <w:t>In the first case, the tender must be sent before the date and time limit for submission, as evidenced by the postmark or deposit slip</w:t>
      </w:r>
      <w:r>
        <w:rPr>
          <w:rStyle w:val="FootnoteReference"/>
          <w:i/>
          <w:sz w:val="22"/>
          <w:szCs w:val="22"/>
          <w:shd w:fill="auto" w:val="clear"/>
          <w:lang w:val="en-GB"/>
        </w:rPr>
        <w:footnoteReference w:id="2"/>
      </w:r>
      <w:r>
        <w:rPr>
          <w:rStyle w:val="Emphasis"/>
          <w:i w:val="false"/>
          <w:sz w:val="22"/>
          <w:szCs w:val="22"/>
          <w:shd w:fill="auto" w:val="clear"/>
          <w:lang w:val="en-GB"/>
        </w:rPr>
        <w:t>, but in the second case it is the acknowledgment of receipt given at the time of the delivery of the tender which will serve as proof.</w:t>
      </w:r>
    </w:p>
    <w:p>
      <w:pPr>
        <w:pStyle w:val="PRAGHeading2"/>
        <w:numPr>
          <w:ilvl w:val="0"/>
          <w:numId w:val="0"/>
        </w:numPr>
        <w:ind w:hanging="0" w:left="426"/>
        <w:jc w:val="both"/>
        <w:rPr/>
      </w:pPr>
      <w:r>
        <w:rPr>
          <w:rStyle w:val="Emphasis"/>
          <w:b/>
          <w:i w:val="false"/>
          <w:sz w:val="22"/>
          <w:szCs w:val="22"/>
          <w:shd w:fill="auto" w:val="clear"/>
          <w:lang w:val="en-GB"/>
        </w:rPr>
        <w:t xml:space="preserve">Deadline for submission of tenders is: </w:t>
      </w:r>
      <w:r>
        <w:rPr>
          <w:rStyle w:val="Emphasis"/>
          <w:b/>
          <w:i w:val="false"/>
          <w:sz w:val="22"/>
          <w:szCs w:val="22"/>
          <w:shd w:fill="auto" w:val="clear"/>
          <w:lang w:val="en-US"/>
        </w:rPr>
        <w:t>01.08.2025</w:t>
      </w:r>
      <w:r>
        <w:rPr>
          <w:rStyle w:val="Emphasis"/>
          <w:b/>
          <w:i w:val="false"/>
          <w:sz w:val="22"/>
          <w:szCs w:val="22"/>
          <w:shd w:fill="auto" w:val="clear"/>
          <w:lang w:val="en-GB"/>
        </w:rPr>
        <w:t xml:space="preserve"> until 15:30 h (local time)</w:t>
      </w:r>
    </w:p>
    <w:p>
      <w:pPr>
        <w:pStyle w:val="PRAGHeading2"/>
        <w:numPr>
          <w:ilvl w:val="0"/>
          <w:numId w:val="0"/>
        </w:numPr>
        <w:ind w:hanging="0" w:left="426"/>
        <w:jc w:val="both"/>
        <w:rPr>
          <w:highlight w:val="none"/>
          <w:shd w:fill="auto" w:val="clear"/>
        </w:rPr>
      </w:pPr>
      <w:r>
        <w:rPr>
          <w:sz w:val="22"/>
          <w:szCs w:val="22"/>
          <w:shd w:fill="auto" w:val="clear"/>
          <w:lang w:val="en-GB"/>
        </w:rPr>
        <w:t>Any tender submitted to the contracting authority after this deadline will not be considered.</w:t>
      </w:r>
    </w:p>
    <w:p>
      <w:pPr>
        <w:pStyle w:val="PRAGHeading2"/>
        <w:numPr>
          <w:ilvl w:val="0"/>
          <w:numId w:val="0"/>
        </w:numPr>
        <w:ind w:hanging="0" w:left="426"/>
        <w:jc w:val="both"/>
        <w:rPr>
          <w:highlight w:val="none"/>
          <w:shd w:fill="auto" w:val="clear"/>
        </w:rPr>
      </w:pPr>
      <w:r>
        <w:rPr>
          <w:sz w:val="22"/>
          <w:szCs w:val="22"/>
          <w:shd w:fill="auto" w:val="clear"/>
          <w:lang w:val="en-GB"/>
        </w:rPr>
        <w:t>The contracting authority may, for reasons of administrative efficiency, reject any tender submitted on time to the postal service but received, for any reason beyond the contracting authority's control, after the effective date of approval of the evaluation report, if accepting tenders that were submitted on time but arrived late would considerably delay the evaluation procedure or jeopardise decisions already taken and notified.</w:t>
      </w:r>
    </w:p>
    <w:p>
      <w:pPr>
        <w:pStyle w:val="PRAGHeading2"/>
        <w:numPr>
          <w:ilvl w:val="0"/>
          <w:numId w:val="2"/>
        </w:numPr>
        <w:ind w:hanging="426" w:left="426"/>
        <w:jc w:val="both"/>
        <w:rPr/>
      </w:pPr>
      <w:r>
        <w:rPr>
          <w:rStyle w:val="Strong"/>
          <w:sz w:val="22"/>
          <w:szCs w:val="22"/>
          <w:shd w:fill="auto" w:val="clear"/>
          <w:lang w:val="en-GB"/>
        </w:rPr>
        <w:t xml:space="preserve">How tenders may be submitted </w:t>
      </w:r>
    </w:p>
    <w:p>
      <w:pPr>
        <w:pStyle w:val="Normal"/>
        <w:ind w:left="426"/>
        <w:jc w:val="both"/>
        <w:rPr>
          <w:highlight w:val="none"/>
          <w:shd w:fill="auto" w:val="clear"/>
        </w:rPr>
      </w:pPr>
      <w:r>
        <w:rPr>
          <w:sz w:val="22"/>
          <w:szCs w:val="22"/>
          <w:shd w:fill="auto" w:val="clear"/>
          <w:lang w:val="en-GB"/>
        </w:rPr>
        <w:t>Tenders must be submitted in English exclusively to the contracting authority in a sealed envelope.</w:t>
      </w:r>
    </w:p>
    <w:p>
      <w:pPr>
        <w:pStyle w:val="ListParagraph"/>
        <w:numPr>
          <w:ilvl w:val="0"/>
          <w:numId w:val="1"/>
        </w:numPr>
        <w:ind w:hanging="360" w:left="786"/>
        <w:jc w:val="both"/>
        <w:rPr>
          <w:highlight w:val="none"/>
          <w:shd w:fill="auto" w:val="clear"/>
        </w:rPr>
      </w:pPr>
      <w:r>
        <w:rPr>
          <w:sz w:val="22"/>
          <w:szCs w:val="22"/>
          <w:shd w:fill="auto" w:val="clear"/>
          <w:lang w:val="en-GB"/>
        </w:rPr>
        <w:t xml:space="preserve">Either by post or by courier service, in which case the evidence shall be constituted by the postmark or the date of the deposit slip, to: </w:t>
      </w:r>
    </w:p>
    <w:p>
      <w:pPr>
        <w:pStyle w:val="ListParagraph"/>
        <w:spacing w:before="240" w:after="120"/>
        <w:contextualSpacing/>
        <w:jc w:val="center"/>
        <w:rPr>
          <w:highlight w:val="none"/>
          <w:shd w:fill="auto" w:val="clear"/>
        </w:rPr>
      </w:pPr>
      <w:r>
        <w:rPr>
          <w:b/>
          <w:szCs w:val="24"/>
          <w:shd w:fill="auto" w:val="clear"/>
        </w:rPr>
        <w:t>Municipality of Kriva Palanka,</w:t>
      </w:r>
    </w:p>
    <w:p>
      <w:pPr>
        <w:pStyle w:val="ListParagraph"/>
        <w:spacing w:before="240" w:after="120"/>
        <w:contextualSpacing/>
        <w:jc w:val="center"/>
        <w:rPr>
          <w:highlight w:val="none"/>
          <w:shd w:fill="auto" w:val="clear"/>
        </w:rPr>
      </w:pPr>
      <w:r>
        <w:rPr>
          <w:b/>
          <w:szCs w:val="24"/>
          <w:shd w:fill="auto" w:val="clear"/>
        </w:rPr>
        <w:t>Adress: St Joachim Osogovski street 175, 1330 Kriva Palanka ,</w:t>
      </w:r>
    </w:p>
    <w:p>
      <w:pPr>
        <w:pStyle w:val="ListParagraph"/>
        <w:spacing w:before="240" w:after="120"/>
        <w:contextualSpacing/>
        <w:jc w:val="center"/>
        <w:rPr>
          <w:highlight w:val="none"/>
          <w:shd w:fill="auto" w:val="clear"/>
        </w:rPr>
      </w:pPr>
      <w:r>
        <w:rPr>
          <w:b/>
          <w:szCs w:val="24"/>
          <w:shd w:fill="auto" w:val="clear"/>
        </w:rPr>
        <w:t>Republic of North Macedonia</w:t>
      </w:r>
    </w:p>
    <w:p>
      <w:pPr>
        <w:pStyle w:val="ListParagraph"/>
        <w:numPr>
          <w:ilvl w:val="0"/>
          <w:numId w:val="1"/>
        </w:numPr>
        <w:ind w:hanging="360" w:left="786"/>
        <w:jc w:val="both"/>
        <w:rPr>
          <w:highlight w:val="none"/>
          <w:shd w:fill="auto" w:val="clear"/>
        </w:rPr>
      </w:pPr>
      <w:r>
        <w:rPr>
          <w:sz w:val="22"/>
          <w:szCs w:val="22"/>
          <w:shd w:fill="auto" w:val="clear"/>
          <w:lang w:val="en-GB"/>
        </w:rPr>
        <w:t xml:space="preserve">OR hand delivered by the participant in person or by an agent directly to the premises of the contracting authority in return for a signed and dated receipt, in which case the evidence shall be constituted by this acknowledgement of receipt, to: </w:t>
      </w:r>
    </w:p>
    <w:p>
      <w:pPr>
        <w:pStyle w:val="ListParagraph"/>
        <w:jc w:val="center"/>
        <w:rPr>
          <w:highlight w:val="none"/>
          <w:shd w:fill="auto" w:val="clear"/>
        </w:rPr>
      </w:pPr>
      <w:r>
        <w:rPr>
          <w:b/>
          <w:szCs w:val="24"/>
          <w:shd w:fill="auto" w:val="clear"/>
        </w:rPr>
        <w:t>Municipality of Kriva Palanka,</w:t>
      </w:r>
    </w:p>
    <w:p>
      <w:pPr>
        <w:pStyle w:val="ListParagraph"/>
        <w:jc w:val="center"/>
        <w:rPr>
          <w:highlight w:val="none"/>
          <w:shd w:fill="auto" w:val="clear"/>
        </w:rPr>
      </w:pPr>
      <w:r>
        <w:rPr>
          <w:b/>
          <w:szCs w:val="24"/>
          <w:shd w:fill="auto" w:val="clear"/>
        </w:rPr>
        <w:t>Adress: St Joachim Osogovski street 175, 1330 Kriva Palanka ,</w:t>
      </w:r>
    </w:p>
    <w:p>
      <w:pPr>
        <w:pStyle w:val="ListParagraph"/>
        <w:jc w:val="center"/>
        <w:rPr>
          <w:highlight w:val="none"/>
          <w:shd w:fill="auto" w:val="clear"/>
        </w:rPr>
      </w:pPr>
      <w:r>
        <w:rPr>
          <w:b/>
          <w:szCs w:val="24"/>
          <w:shd w:fill="auto" w:val="clear"/>
        </w:rPr>
        <w:t>Republic of North Macedonia</w:t>
      </w:r>
    </w:p>
    <w:p>
      <w:pPr>
        <w:pStyle w:val="Blockquote"/>
        <w:keepNext w:val="true"/>
        <w:keepLines/>
        <w:spacing w:before="0" w:after="0"/>
        <w:ind w:left="720" w:right="357"/>
        <w:jc w:val="center"/>
        <w:rPr>
          <w:highlight w:val="none"/>
          <w:shd w:fill="auto" w:val="clear"/>
        </w:rPr>
      </w:pPr>
      <w:r>
        <w:rPr>
          <w:sz w:val="22"/>
          <w:szCs w:val="22"/>
          <w:shd w:fill="auto" w:val="clear"/>
          <w:lang w:val="en-GB"/>
        </w:rPr>
        <w:t xml:space="preserve">(working hours: </w:t>
      </w:r>
      <w:r>
        <w:rPr>
          <w:sz w:val="22"/>
          <w:szCs w:val="22"/>
          <w:shd w:fill="auto" w:val="clear"/>
          <w:lang w:val="mk-MK"/>
        </w:rPr>
        <w:t>7</w:t>
      </w:r>
      <w:r>
        <w:rPr>
          <w:sz w:val="22"/>
          <w:szCs w:val="22"/>
          <w:shd w:fill="auto" w:val="clear"/>
          <w:lang w:val="en-GB"/>
        </w:rPr>
        <w:t>:</w:t>
      </w:r>
      <w:r>
        <w:rPr>
          <w:sz w:val="22"/>
          <w:szCs w:val="22"/>
          <w:shd w:fill="auto" w:val="clear"/>
          <w:lang w:val="mk-MK"/>
        </w:rPr>
        <w:t>3</w:t>
      </w:r>
      <w:r>
        <w:rPr>
          <w:sz w:val="22"/>
          <w:szCs w:val="22"/>
          <w:shd w:fill="auto" w:val="clear"/>
          <w:lang w:val="en-GB"/>
        </w:rPr>
        <w:t>0 – 1</w:t>
      </w:r>
      <w:r>
        <w:rPr>
          <w:sz w:val="22"/>
          <w:szCs w:val="22"/>
          <w:shd w:fill="auto" w:val="clear"/>
          <w:lang w:val="mk-MK"/>
        </w:rPr>
        <w:t>5</w:t>
      </w:r>
      <w:r>
        <w:rPr>
          <w:sz w:val="22"/>
          <w:szCs w:val="22"/>
          <w:shd w:fill="auto" w:val="clear"/>
          <w:lang w:val="en-GB"/>
        </w:rPr>
        <w:t>:</w:t>
      </w:r>
      <w:r>
        <w:rPr>
          <w:sz w:val="22"/>
          <w:szCs w:val="22"/>
          <w:shd w:fill="auto" w:val="clear"/>
          <w:lang w:val="mk-MK"/>
        </w:rPr>
        <w:t>3</w:t>
      </w:r>
      <w:r>
        <w:rPr>
          <w:sz w:val="22"/>
          <w:szCs w:val="22"/>
          <w:shd w:fill="auto" w:val="clear"/>
          <w:lang w:val="en-GB"/>
        </w:rPr>
        <w:t>0 h local time)</w:t>
      </w:r>
    </w:p>
    <w:p>
      <w:pPr>
        <w:pStyle w:val="Normal"/>
        <w:spacing w:before="240" w:after="100"/>
        <w:ind w:left="426"/>
        <w:jc w:val="both"/>
        <w:rPr>
          <w:highlight w:val="none"/>
          <w:shd w:fill="auto" w:val="clear"/>
        </w:rPr>
      </w:pPr>
      <w:r>
        <w:rPr>
          <w:sz w:val="22"/>
          <w:szCs w:val="22"/>
          <w:shd w:fill="auto" w:val="clear"/>
          <w:lang w:val="en-GB"/>
        </w:rPr>
        <w:t xml:space="preserve">The contract title and publication reference (see contract notice) must be clearly marked on the envelope containing the tender and must always be mentioned in all subsequent correspondence with the contracting authority. </w:t>
      </w:r>
    </w:p>
    <w:p>
      <w:pPr>
        <w:pStyle w:val="Normal"/>
        <w:tabs>
          <w:tab w:val="clear" w:pos="720"/>
          <w:tab w:val="left" w:pos="426" w:leader="none"/>
        </w:tabs>
        <w:ind w:left="426"/>
        <w:jc w:val="both"/>
        <w:rPr>
          <w:highlight w:val="none"/>
          <w:shd w:fill="auto" w:val="clear"/>
        </w:rPr>
      </w:pPr>
      <w:r>
        <w:rPr>
          <w:sz w:val="22"/>
          <w:szCs w:val="22"/>
          <w:shd w:fill="auto" w:val="clear"/>
          <w:lang w:val="en-GB"/>
        </w:rPr>
        <w:t xml:space="preserve">Tenders submitted by any other means will not be considered. </w:t>
      </w:r>
    </w:p>
    <w:p>
      <w:pPr>
        <w:pStyle w:val="Normal"/>
        <w:tabs>
          <w:tab w:val="clear" w:pos="720"/>
          <w:tab w:val="left" w:pos="426" w:leader="none"/>
        </w:tabs>
        <w:ind w:left="426"/>
        <w:jc w:val="both"/>
        <w:rPr>
          <w:highlight w:val="none"/>
          <w:shd w:fill="auto" w:val="clear"/>
        </w:rPr>
      </w:pPr>
      <w:r>
        <w:rPr>
          <w:sz w:val="22"/>
          <w:szCs w:val="22"/>
          <w:shd w:fill="auto" w:val="clear"/>
          <w:lang w:val="en-GB"/>
        </w:rPr>
        <w:t>By submitting an application candidates accept to receive notification of the outcome of the procedure by electronic means. Such notification shall be deemed to have been received on the date upon which the contracting authority sends it to the electronic address referred to in the tender.</w:t>
      </w:r>
      <w:bookmarkStart w:id="4" w:name="_GoBack"/>
      <w:bookmarkEnd w:id="4"/>
    </w:p>
    <w:p>
      <w:pPr>
        <w:pStyle w:val="PRAGHeading2"/>
        <w:numPr>
          <w:ilvl w:val="0"/>
          <w:numId w:val="2"/>
        </w:numPr>
        <w:ind w:hanging="426" w:left="426"/>
        <w:rPr/>
      </w:pPr>
      <w:r>
        <w:rPr>
          <w:rStyle w:val="Strong"/>
          <w:sz w:val="22"/>
          <w:szCs w:val="22"/>
          <w:shd w:fill="auto" w:val="clear"/>
          <w:lang w:val="en-GB"/>
        </w:rPr>
        <w:t>Tender opening session</w:t>
      </w:r>
    </w:p>
    <w:p>
      <w:pPr>
        <w:pStyle w:val="Normal"/>
        <w:ind w:left="426"/>
        <w:jc w:val="both"/>
        <w:rPr>
          <w:highlight w:val="none"/>
          <w:shd w:fill="auto" w:val="clear"/>
        </w:rPr>
      </w:pPr>
      <w:r>
        <w:rPr>
          <w:sz w:val="22"/>
          <w:shd w:fill="auto" w:val="clear"/>
          <w:lang w:val="en-GB"/>
        </w:rPr>
        <w:t>Tender opening session is envisaged on</w:t>
      </w:r>
      <w:r>
        <w:rPr>
          <w:b/>
          <w:sz w:val="22"/>
          <w:szCs w:val="22"/>
          <w:shd w:fill="auto" w:val="clear"/>
          <w:lang w:val="en-GB"/>
        </w:rPr>
        <w:t xml:space="preserve"> </w:t>
      </w:r>
      <w:r>
        <w:rPr>
          <w:b/>
          <w:sz w:val="22"/>
          <w:szCs w:val="22"/>
          <w:shd w:fill="auto" w:val="clear"/>
          <w:lang w:val="en-US"/>
        </w:rPr>
        <w:t>07.08.2025</w:t>
      </w:r>
      <w:r>
        <w:rPr>
          <w:b/>
          <w:sz w:val="22"/>
          <w:szCs w:val="22"/>
          <w:shd w:fill="auto" w:val="clear"/>
          <w:lang w:val="en-GB"/>
        </w:rPr>
        <w:t xml:space="preserve"> at 11:00 h (local time) </w:t>
      </w:r>
      <w:r>
        <w:rPr>
          <w:sz w:val="22"/>
          <w:szCs w:val="22"/>
          <w:shd w:fill="auto" w:val="clear"/>
          <w:lang w:val="en-GB"/>
        </w:rPr>
        <w:t>at the premises of the Municipality of Kriva Palank</w:t>
      </w:r>
      <w:r>
        <w:rPr>
          <w:sz w:val="22"/>
          <w:szCs w:val="22"/>
          <w:shd w:fill="auto" w:val="clear"/>
          <w:lang w:val="en-US"/>
        </w:rPr>
        <w:t>a</w:t>
      </w:r>
      <w:r>
        <w:rPr>
          <w:sz w:val="22"/>
          <w:szCs w:val="22"/>
          <w:shd w:fill="auto" w:val="clear"/>
          <w:lang w:val="en-GB"/>
        </w:rPr>
        <w:t>, address: St. Joachim Osogovski street n175, 1330 Kriva Palanka.</w:t>
      </w:r>
    </w:p>
    <w:p>
      <w:pPr>
        <w:pStyle w:val="PRAGHeading2"/>
        <w:numPr>
          <w:ilvl w:val="0"/>
          <w:numId w:val="0"/>
        </w:numPr>
        <w:ind w:hanging="0" w:left="426"/>
        <w:jc w:val="both"/>
        <w:rPr>
          <w:sz w:val="22"/>
          <w:highlight w:val="none"/>
          <w:shd w:fill="auto" w:val="clear"/>
          <w:lang w:val="en-GB"/>
        </w:rPr>
      </w:pPr>
      <w:r>
        <w:rPr>
          <w:sz w:val="22"/>
          <w:shd w:fill="auto" w:val="clear"/>
          <w:lang w:val="en-GB"/>
        </w:rPr>
        <w:t>In the case that at the date of the opening session some tenders have not been delivered to the contracting authority but their representatives can show evidence that they have been sent on time, the contracting authority will allow them to participate in the first opening session and inform all representatives of the tenderers that a second opening session will be organised.</w:t>
      </w:r>
    </w:p>
    <w:p>
      <w:pPr>
        <w:pStyle w:val="PRAGHeading2"/>
        <w:numPr>
          <w:ilvl w:val="0"/>
          <w:numId w:val="0"/>
        </w:numPr>
        <w:spacing w:before="100" w:after="100"/>
        <w:ind w:hanging="0" w:left="426"/>
        <w:jc w:val="center"/>
        <w:rPr>
          <w:b/>
          <w:bCs/>
          <w:sz w:val="22"/>
          <w:szCs w:val="22"/>
          <w:highlight w:val="none"/>
          <w:shd w:fill="auto" w:val="clear"/>
          <w:lang w:val="en-GB"/>
        </w:rPr>
      </w:pPr>
      <w:r>
        <w:rPr>
          <w:b/>
          <w:bCs/>
          <w:sz w:val="22"/>
          <w:szCs w:val="22"/>
          <w:shd w:fill="auto" w:val="clear"/>
          <w:lang w:val="en-GB"/>
        </w:rPr>
        <w:t>***</w:t>
      </w:r>
    </w:p>
    <w:sectPr>
      <w:footerReference w:type="even" r:id="rId4"/>
      <w:footerReference w:type="default" r:id="rId5"/>
      <w:footerReference w:type="first" r:id="rId6"/>
      <w:footnotePr>
        <w:numFmt w:val="decimal"/>
      </w:footnotePr>
      <w:type w:val="nextPage"/>
      <w:pgSz w:w="11906" w:h="16838"/>
      <w:pgMar w:left="1417" w:right="1417" w:gutter="0" w:header="0" w:top="1134"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ambria">
    <w:charset w:val="cc"/>
    <w:family w:val="roman"/>
    <w:pitch w:val="variable"/>
  </w:font>
  <w:font w:name="Tahoma">
    <w:charset w:val="cc"/>
    <w:family w:val="swiss"/>
    <w:pitch w:val="variable"/>
  </w:font>
  <w:font w:name="Arial">
    <w:charset w:val="cc"/>
    <w:family w:val="swiss"/>
    <w:pitch w:val="variable"/>
  </w:font>
  <w:font w:name="Segoe UI">
    <w:charset w:val="cc"/>
    <w:family w:val="swiss"/>
    <w:pitch w:val="variable"/>
  </w:font>
  <w:font w:name="Liberation Sans">
    <w:altName w:val="Arial"/>
    <w:charset w:val="cc"/>
    <w:family w:val="swiss"/>
    <w:pitch w:val="variable"/>
  </w:font>
  <w:font w:name="Minion Pro">
    <w:charset w:val="cc"/>
    <w:family w:val="roman"/>
    <w:pitch w:val="variable"/>
  </w:font>
  <w:font w:name="Times New Roman">
    <w:charset w:val="01"/>
    <w:family w:val="roman"/>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lear" w:pos="4536"/>
        <w:tab w:val="right" w:pos="9072" w:leader="none"/>
      </w:tabs>
      <w:rPr>
        <w:b/>
        <w:sz w:val="18"/>
        <w:szCs w:val="18"/>
        <w:lang w:val="en-IE"/>
      </w:rPr>
    </w:pPr>
    <w:r>
      <w:rPr>
        <w:b/>
        <w:sz w:val="18"/>
        <w:szCs w:val="18"/>
        <w:lang w:val="en-IE"/>
      </w:rPr>
      <w:t>2025</w:t>
    </w:r>
    <w:r>
      <w:rPr>
        <w:bCs/>
        <w:sz w:val="18"/>
        <w:szCs w:val="18"/>
        <w:lang w:val="en-IE"/>
      </w:rPr>
      <w:tab/>
      <w:t xml:space="preserve">Page </w:t>
    </w:r>
    <w:r>
      <w:rPr>
        <w:bCs/>
        <w:sz w:val="18"/>
        <w:szCs w:val="18"/>
        <w:lang w:val="en-GB"/>
      </w:rPr>
      <w:fldChar w:fldCharType="begin"/>
    </w:r>
    <w:r>
      <w:rPr>
        <w:sz w:val="18"/>
        <w:szCs w:val="18"/>
        <w:bCs/>
        <w:lang w:val="en-GB"/>
      </w:rPr>
      <w:instrText xml:space="preserve"> PAGE </w:instrText>
    </w:r>
    <w:r>
      <w:rPr>
        <w:sz w:val="18"/>
        <w:szCs w:val="18"/>
        <w:bCs/>
        <w:lang w:val="en-GB"/>
      </w:rPr>
      <w:fldChar w:fldCharType="separate"/>
    </w:r>
    <w:r>
      <w:rPr>
        <w:sz w:val="18"/>
        <w:szCs w:val="18"/>
        <w:bCs/>
        <w:lang w:val="en-GB"/>
      </w:rPr>
      <w:t>1</w:t>
    </w:r>
    <w:r>
      <w:rPr>
        <w:sz w:val="18"/>
        <w:szCs w:val="18"/>
        <w:bCs/>
        <w:lang w:val="en-GB"/>
      </w:rPr>
      <w:fldChar w:fldCharType="end"/>
    </w:r>
    <w:r>
      <w:rPr>
        <w:bCs/>
        <w:sz w:val="18"/>
        <w:szCs w:val="18"/>
        <w:lang w:val="en-GB"/>
      </w:rPr>
      <w:t xml:space="preserve"> of </w:t>
    </w:r>
    <w:r>
      <w:rPr>
        <w:bCs/>
        <w:sz w:val="18"/>
        <w:szCs w:val="18"/>
        <w:lang w:val="en-GB"/>
      </w:rPr>
      <w:fldChar w:fldCharType="begin"/>
    </w:r>
    <w:r>
      <w:rPr>
        <w:sz w:val="18"/>
        <w:szCs w:val="18"/>
        <w:bCs/>
        <w:lang w:val="en-GB"/>
      </w:rPr>
      <w:instrText xml:space="preserve"> NUMPAGES </w:instrText>
    </w:r>
    <w:r>
      <w:rPr>
        <w:sz w:val="18"/>
        <w:szCs w:val="18"/>
        <w:bCs/>
        <w:lang w:val="en-GB"/>
      </w:rPr>
      <w:fldChar w:fldCharType="separate"/>
    </w:r>
    <w:r>
      <w:rPr>
        <w:sz w:val="18"/>
        <w:szCs w:val="18"/>
        <w:bCs/>
        <w:lang w:val="en-GB"/>
      </w:rPr>
      <w:t>3</w:t>
    </w:r>
    <w:r>
      <w:rPr>
        <w:sz w:val="18"/>
        <w:szCs w:val="18"/>
        <w:bCs/>
        <w:lang w:val="en-GB"/>
      </w:rPr>
      <w:fldChar w:fldCharType="end"/>
    </w:r>
  </w:p>
  <w:p>
    <w:pPr>
      <w:pStyle w:val="Footer"/>
      <w:tabs>
        <w:tab w:val="clear" w:pos="4536"/>
        <w:tab w:val="right" w:pos="9072" w:leader="none"/>
      </w:tabs>
      <w:rPr>
        <w:bCs/>
        <w:sz w:val="18"/>
        <w:szCs w:val="18"/>
        <w:lang w:val="en-GB"/>
      </w:rPr>
    </w:pPr>
    <w:r>
      <w:rPr>
        <w:bCs/>
        <w:sz w:val="18"/>
        <w:szCs w:val="18"/>
        <w:lang w:val="fr-BE"/>
      </w:rPr>
      <w:fldChar w:fldCharType="begin"/>
    </w:r>
    <w:r>
      <w:rPr>
        <w:sz w:val="18"/>
        <w:szCs w:val="18"/>
        <w:bCs/>
        <w:lang w:val="fr-BE"/>
      </w:rPr>
      <w:instrText xml:space="preserve"> FILENAME </w:instrText>
    </w:r>
    <w:r>
      <w:rPr>
        <w:sz w:val="18"/>
        <w:szCs w:val="18"/>
        <w:bCs/>
        <w:lang w:val="fr-BE"/>
      </w:rPr>
      <w:fldChar w:fldCharType="separate"/>
    </w:r>
    <w:r>
      <w:rPr>
        <w:sz w:val="18"/>
        <w:szCs w:val="18"/>
        <w:bCs/>
        <w:lang w:val="fr-BE"/>
      </w:rPr>
      <w:t>a5f_additional_information_contract_notice_en.docx</w:t>
    </w:r>
    <w:r>
      <w:rPr>
        <w:sz w:val="18"/>
        <w:szCs w:val="18"/>
        <w:bCs/>
        <w:lang w:val="fr-BE"/>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lear" w:pos="4536"/>
        <w:tab w:val="right" w:pos="9072" w:leader="none"/>
      </w:tabs>
      <w:rPr>
        <w:b/>
        <w:sz w:val="18"/>
        <w:szCs w:val="18"/>
        <w:lang w:val="en-IE"/>
      </w:rPr>
    </w:pPr>
    <w:r>
      <w:rPr>
        <w:b/>
        <w:sz w:val="18"/>
        <w:szCs w:val="18"/>
        <w:lang w:val="en-IE"/>
      </w:rPr>
      <w:t>2025</w:t>
    </w:r>
    <w:r>
      <w:rPr>
        <w:bCs/>
        <w:sz w:val="18"/>
        <w:szCs w:val="18"/>
        <w:lang w:val="en-IE"/>
      </w:rPr>
      <w:tab/>
      <w:t xml:space="preserve">Page </w:t>
    </w:r>
    <w:r>
      <w:rPr>
        <w:bCs/>
        <w:sz w:val="18"/>
        <w:szCs w:val="18"/>
        <w:lang w:val="en-GB"/>
      </w:rPr>
      <w:fldChar w:fldCharType="begin"/>
    </w:r>
    <w:r>
      <w:rPr>
        <w:sz w:val="18"/>
        <w:szCs w:val="18"/>
        <w:bCs/>
        <w:lang w:val="en-GB"/>
      </w:rPr>
      <w:instrText xml:space="preserve"> PAGE </w:instrText>
    </w:r>
    <w:r>
      <w:rPr>
        <w:sz w:val="18"/>
        <w:szCs w:val="18"/>
        <w:bCs/>
        <w:lang w:val="en-GB"/>
      </w:rPr>
      <w:fldChar w:fldCharType="separate"/>
    </w:r>
    <w:r>
      <w:rPr>
        <w:sz w:val="18"/>
        <w:szCs w:val="18"/>
        <w:bCs/>
        <w:lang w:val="en-GB"/>
      </w:rPr>
      <w:t>1</w:t>
    </w:r>
    <w:r>
      <w:rPr>
        <w:sz w:val="18"/>
        <w:szCs w:val="18"/>
        <w:bCs/>
        <w:lang w:val="en-GB"/>
      </w:rPr>
      <w:fldChar w:fldCharType="end"/>
    </w:r>
    <w:r>
      <w:rPr>
        <w:bCs/>
        <w:sz w:val="18"/>
        <w:szCs w:val="18"/>
        <w:lang w:val="en-GB"/>
      </w:rPr>
      <w:t xml:space="preserve"> of </w:t>
    </w:r>
    <w:r>
      <w:rPr>
        <w:bCs/>
        <w:sz w:val="18"/>
        <w:szCs w:val="18"/>
        <w:lang w:val="en-GB"/>
      </w:rPr>
      <w:fldChar w:fldCharType="begin"/>
    </w:r>
    <w:r>
      <w:rPr>
        <w:sz w:val="18"/>
        <w:szCs w:val="18"/>
        <w:bCs/>
        <w:lang w:val="en-GB"/>
      </w:rPr>
      <w:instrText xml:space="preserve"> NUMPAGES </w:instrText>
    </w:r>
    <w:r>
      <w:rPr>
        <w:sz w:val="18"/>
        <w:szCs w:val="18"/>
        <w:bCs/>
        <w:lang w:val="en-GB"/>
      </w:rPr>
      <w:fldChar w:fldCharType="separate"/>
    </w:r>
    <w:r>
      <w:rPr>
        <w:sz w:val="18"/>
        <w:szCs w:val="18"/>
        <w:bCs/>
        <w:lang w:val="en-GB"/>
      </w:rPr>
      <w:t>3</w:t>
    </w:r>
    <w:r>
      <w:rPr>
        <w:sz w:val="18"/>
        <w:szCs w:val="18"/>
        <w:bCs/>
        <w:lang w:val="en-GB"/>
      </w:rPr>
      <w:fldChar w:fldCharType="end"/>
    </w:r>
  </w:p>
  <w:p>
    <w:pPr>
      <w:pStyle w:val="Footer"/>
      <w:tabs>
        <w:tab w:val="clear" w:pos="4536"/>
        <w:tab w:val="right" w:pos="9072" w:leader="none"/>
      </w:tabs>
      <w:rPr>
        <w:bCs/>
        <w:sz w:val="18"/>
        <w:szCs w:val="18"/>
        <w:lang w:val="en-GB"/>
      </w:rPr>
    </w:pPr>
    <w:r>
      <w:rPr>
        <w:bCs/>
        <w:sz w:val="18"/>
        <w:szCs w:val="18"/>
        <w:lang w:val="fr-BE"/>
      </w:rPr>
      <w:fldChar w:fldCharType="begin"/>
    </w:r>
    <w:r>
      <w:rPr>
        <w:sz w:val="18"/>
        <w:szCs w:val="18"/>
        <w:bCs/>
        <w:lang w:val="fr-BE"/>
      </w:rPr>
      <w:instrText xml:space="preserve"> FILENAME </w:instrText>
    </w:r>
    <w:r>
      <w:rPr>
        <w:sz w:val="18"/>
        <w:szCs w:val="18"/>
        <w:bCs/>
        <w:lang w:val="fr-BE"/>
      </w:rPr>
      <w:fldChar w:fldCharType="separate"/>
    </w:r>
    <w:r>
      <w:rPr>
        <w:sz w:val="18"/>
        <w:szCs w:val="18"/>
        <w:bCs/>
        <w:lang w:val="fr-BE"/>
      </w:rPr>
      <w:t>a5f_additional_information_contract_notice_en.docx</w:t>
    </w:r>
    <w:r>
      <w:rPr>
        <w:sz w:val="18"/>
        <w:szCs w:val="18"/>
        <w:bCs/>
        <w:lang w:val="fr-BE"/>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r>
        <w:separator/>
      </w:r>
    </w:p>
  </w:footnote>
  <w:footnote w:id="1" w:type="continuationSeparator">
    <w:p>
      <w:r>
        <w:continuationSeparator/>
      </w:r>
    </w:p>
  </w:footnote>
  <w:footnote w:id="2">
    <w:p>
      <w:pPr>
        <w:pStyle w:val="FootnoteText"/>
        <w:rPr>
          <w:lang w:val="en-GB"/>
        </w:rPr>
      </w:pPr>
      <w:r>
        <w:rPr>
          <w:rStyle w:val="FootnoteCharacters"/>
        </w:rPr>
        <w:footnoteRef/>
      </w:r>
      <w:r>
        <w:rPr>
          <w:lang w:val="en-GB"/>
        </w:rPr>
        <w:t>It is recommended to use registered mail in case the postmark would not be readable.</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decimal"/>
      <w:lvlText w:val="%1."/>
      <w:lvlJc w:val="left"/>
      <w:pPr>
        <w:tabs>
          <w:tab w:val="num" w:pos="567"/>
        </w:tabs>
        <w:ind w:left="567" w:hanging="0"/>
      </w:pPr>
      <w:rPr>
        <w:sz w:val="22"/>
        <w:i w:val="false"/>
        <w:b/>
        <w:szCs w:val="22"/>
        <w:rFonts w:ascii="Times New Roman" w:hAnsi="Times New Roman"/>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3">
    <w:lvl w:ilvl="0">
      <w:start w:val="1"/>
      <w:numFmt w:val="decimal"/>
      <w:lvlText w:val="%1."/>
      <w:lvlJc w:val="left"/>
      <w:pPr>
        <w:tabs>
          <w:tab w:val="num" w:pos="0"/>
        </w:tabs>
        <w:ind w:left="720" w:hanging="360"/>
      </w:pPr>
      <w:rPr>
        <w:smallCaps w:val="false"/>
        <w:caps w:val="false"/>
        <w:dstrike w:val="false"/>
        <w:strike w:val="false"/>
        <w:vertAlign w:val="baseline"/>
        <w:position w:val="0"/>
        <w:sz w:val="24"/>
        <w:sz w:val="24"/>
        <w:i w:val="false"/>
        <w:u w:val="none"/>
        <w:b w:val="false"/>
        <w:vanish w:val="false"/>
        <w14:shadow w14:blurRad="0" w14:dist="0" w14:dir="0" w14:sx="0" w14:sy="0" w14:kx="0" w14:ky="0" w14:algn="none">
          <w14:srgbClr w14:val="000000"/>
        </w14:shadow>
        <w14:textOutline w14:w="0" w14:cap="rnd" w14:cmpd="sng" w14:algn="ctr">
          <w14:noFill/>
          <w14:prstDash w14:val="solid"/>
          <w14:bevel/>
        </w14:textOutline>
      </w:rPr>
    </w:lvl>
    <w:lvl w:ilvl="1">
      <w:start w:val="2"/>
      <w:numFmt w:val="bullet"/>
      <w:lvlText w:val="-"/>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autoHyphenation w:val="true"/>
  <w:hyphenationZone w:val="0"/>
  <w:footnotePr>
    <w:numFmt w:val="decimal"/>
    <w:footnote w:id="0"/>
    <w:footnote w:id="1"/>
  </w:foot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GB" w:eastAsia="" w:bidi=""/>
  <w:docVars>
    <w:docVar w:name="LW_DocType" w:val="NORMAL"/>
  </w:docVars>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GB"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0"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ea6c7c"/>
    <w:pPr>
      <w:widowControl w:val="false"/>
      <w:suppressAutoHyphens w:val="true"/>
      <w:bidi w:val="0"/>
      <w:spacing w:lineRule="auto" w:line="240" w:before="100" w:after="100"/>
      <w:jc w:val="left"/>
    </w:pPr>
    <w:rPr>
      <w:rFonts w:ascii="Times New Roman" w:hAnsi="Times New Roman" w:eastAsia="Times New Roman" w:cs="Times New Roman"/>
      <w:color w:val="auto"/>
      <w:kern w:val="0"/>
      <w:sz w:val="24"/>
      <w:szCs w:val="20"/>
      <w:lang w:val="en-US" w:eastAsia="en-US" w:bidi="ar-SA"/>
    </w:rPr>
  </w:style>
  <w:style w:type="paragraph" w:styleId="Heading2">
    <w:name w:val="heading 2"/>
    <w:basedOn w:val="Normal"/>
    <w:next w:val="Normal"/>
    <w:link w:val="Heading2Char"/>
    <w:uiPriority w:val="9"/>
    <w:semiHidden/>
    <w:unhideWhenUsed/>
    <w:qFormat/>
    <w:rsid w:val="00df455d"/>
    <w:pPr>
      <w:keepNext w:val="true"/>
      <w:keepLines/>
      <w:spacing w:before="40" w:after="0"/>
      <w:outlineLvl w:val="1"/>
    </w:pPr>
    <w:rPr>
      <w:rFonts w:ascii="Cambria" w:hAnsi="Cambria" w:eastAsia="" w:cs="" w:asciiTheme="majorHAnsi" w:cstheme="majorBidi" w:eastAsiaTheme="majorEastAsia" w:hAnsiTheme="majorHAnsi"/>
      <w:color w:themeColor="accent1" w:themeShade="bf" w:val="365F91"/>
      <w:sz w:val="26"/>
      <w:szCs w:val="26"/>
    </w:rPr>
  </w:style>
  <w:style w:type="paragraph" w:styleId="Heading3">
    <w:name w:val="heading 3"/>
    <w:basedOn w:val="Normal"/>
    <w:next w:val="Normal"/>
    <w:link w:val="Heading3Char"/>
    <w:uiPriority w:val="9"/>
    <w:semiHidden/>
    <w:unhideWhenUsed/>
    <w:qFormat/>
    <w:rsid w:val="00d65e50"/>
    <w:pPr>
      <w:keepNext w:val="true"/>
      <w:keepLines/>
      <w:spacing w:before="40" w:after="0"/>
      <w:outlineLvl w:val="2"/>
    </w:pPr>
    <w:rPr>
      <w:rFonts w:ascii="Cambria" w:hAnsi="Cambria" w:eastAsia="" w:cs="" w:asciiTheme="majorHAnsi" w:cstheme="majorBidi" w:eastAsiaTheme="majorEastAsia" w:hAnsiTheme="majorHAnsi"/>
      <w:color w:themeColor="accent1" w:themeShade="7f" w:val="243F60"/>
      <w:szCs w:val="24"/>
    </w:rPr>
  </w:style>
  <w:style w:type="paragraph" w:styleId="Heading4">
    <w:name w:val="heading 4"/>
    <w:basedOn w:val="Normal"/>
    <w:next w:val="Normal"/>
    <w:link w:val="Heading4Char"/>
    <w:autoRedefine/>
    <w:qFormat/>
    <w:rsid w:val="00aa2ac2"/>
    <w:pPr>
      <w:widowControl/>
      <w:spacing w:lineRule="atLeast" w:line="240" w:before="0" w:after="120"/>
      <w:ind w:left="414" w:right="-48"/>
      <w:jc w:val="both"/>
      <w:outlineLvl w:val="3"/>
    </w:pPr>
    <w:rPr>
      <w:sz w:val="22"/>
      <w:szCs w:val="22"/>
      <w:lang w:val="en-GB"/>
    </w:rPr>
  </w:style>
  <w:style w:type="character" w:styleId="DefaultParagraphFont" w:default="1">
    <w:name w:val="Default Paragraph Font"/>
    <w:uiPriority w:val="1"/>
    <w:semiHidden/>
    <w:unhideWhenUsed/>
    <w:qFormat/>
    <w:rPr/>
  </w:style>
  <w:style w:type="character" w:styleId="Emphasis">
    <w:name w:val="Emphasis"/>
    <w:qFormat/>
    <w:rsid w:val="00ea6c7c"/>
    <w:rPr>
      <w:i/>
    </w:rPr>
  </w:style>
  <w:style w:type="character" w:styleId="Strong">
    <w:name w:val="Strong"/>
    <w:qFormat/>
    <w:rsid w:val="00ea6c7c"/>
    <w:rPr>
      <w:b/>
    </w:rPr>
  </w:style>
  <w:style w:type="character" w:styleId="Hyperlink">
    <w:name w:val="Hyperlink"/>
    <w:rsid w:val="00ca6501"/>
    <w:rPr>
      <w:color w:val="0000FF"/>
      <w:u w:val="single"/>
    </w:rPr>
  </w:style>
  <w:style w:type="character" w:styleId="FootnoteTextChar" w:customStyle="1">
    <w:name w:val="Footnote Text Char"/>
    <w:basedOn w:val="DefaultParagraphFont"/>
    <w:link w:val="FootnoteText"/>
    <w:qFormat/>
    <w:rsid w:val="000a4362"/>
    <w:rPr>
      <w:rFonts w:ascii="Times New Roman" w:hAnsi="Times New Roman" w:eastAsia="Times New Roman" w:cs="Times New Roman"/>
      <w:sz w:val="20"/>
      <w:szCs w:val="20"/>
      <w:lang w:val="en-US"/>
    </w:rPr>
  </w:style>
  <w:style w:type="character" w:styleId="FootnoteCharacters">
    <w:name w:val="Footnote Characters"/>
    <w:qFormat/>
    <w:rsid w:val="000a4362"/>
    <w:rPr>
      <w:vertAlign w:val="superscript"/>
    </w:rPr>
  </w:style>
  <w:style w:type="character" w:styleId="FootnoteCharactersuser">
    <w:name w:val="Footnote Characters (user)"/>
    <w:qFormat/>
    <w:rPr>
      <w:vertAlign w:val="superscript"/>
    </w:rPr>
  </w:style>
  <w:style w:type="character" w:styleId="FootnoteReference">
    <w:name w:val="footnote reference"/>
    <w:rPr>
      <w:vertAlign w:val="superscript"/>
    </w:rPr>
  </w:style>
  <w:style w:type="character" w:styleId="HeaderChar" w:customStyle="1">
    <w:name w:val="Header Char"/>
    <w:basedOn w:val="DefaultParagraphFont"/>
    <w:link w:val="Header"/>
    <w:uiPriority w:val="99"/>
    <w:qFormat/>
    <w:rsid w:val="00b2271a"/>
    <w:rPr>
      <w:rFonts w:ascii="Times New Roman" w:hAnsi="Times New Roman" w:eastAsia="Times New Roman" w:cs="Times New Roman"/>
      <w:sz w:val="24"/>
      <w:szCs w:val="20"/>
      <w:lang w:val="en-US"/>
    </w:rPr>
  </w:style>
  <w:style w:type="character" w:styleId="FooterChar" w:customStyle="1">
    <w:name w:val="Footer Char"/>
    <w:basedOn w:val="DefaultParagraphFont"/>
    <w:link w:val="Footer"/>
    <w:uiPriority w:val="99"/>
    <w:qFormat/>
    <w:rsid w:val="00b2271a"/>
    <w:rPr>
      <w:rFonts w:ascii="Times New Roman" w:hAnsi="Times New Roman" w:eastAsia="Times New Roman" w:cs="Times New Roman"/>
      <w:sz w:val="24"/>
      <w:szCs w:val="20"/>
      <w:lang w:val="en-US"/>
    </w:rPr>
  </w:style>
  <w:style w:type="character" w:styleId="BalloonTextChar" w:customStyle="1">
    <w:name w:val="Balloon Text Char"/>
    <w:basedOn w:val="DefaultParagraphFont"/>
    <w:link w:val="BalloonText"/>
    <w:uiPriority w:val="99"/>
    <w:semiHidden/>
    <w:qFormat/>
    <w:rsid w:val="009a3842"/>
    <w:rPr>
      <w:rFonts w:ascii="Tahoma" w:hAnsi="Tahoma" w:eastAsia="Times New Roman" w:cs="Tahoma"/>
      <w:sz w:val="16"/>
      <w:szCs w:val="16"/>
      <w:lang w:val="en-US"/>
    </w:rPr>
  </w:style>
  <w:style w:type="character" w:styleId="CommentReference">
    <w:name w:val="annotation reference"/>
    <w:basedOn w:val="DefaultParagraphFont"/>
    <w:uiPriority w:val="99"/>
    <w:unhideWhenUsed/>
    <w:qFormat/>
    <w:rsid w:val="00cc5dd2"/>
    <w:rPr>
      <w:sz w:val="16"/>
      <w:szCs w:val="16"/>
    </w:rPr>
  </w:style>
  <w:style w:type="character" w:styleId="CommentTextChar" w:customStyle="1">
    <w:name w:val="Comment Text Char"/>
    <w:basedOn w:val="DefaultParagraphFont"/>
    <w:link w:val="CommentText"/>
    <w:uiPriority w:val="99"/>
    <w:qFormat/>
    <w:rsid w:val="00cc5dd2"/>
    <w:rPr>
      <w:rFonts w:ascii="Times New Roman" w:hAnsi="Times New Roman" w:eastAsia="Times New Roman" w:cs="Times New Roman"/>
      <w:sz w:val="20"/>
      <w:szCs w:val="20"/>
      <w:lang w:val="en-US"/>
    </w:rPr>
  </w:style>
  <w:style w:type="character" w:styleId="CommentSubjectChar" w:customStyle="1">
    <w:name w:val="Comment Subject Char"/>
    <w:basedOn w:val="CommentTextChar"/>
    <w:link w:val="annotationsubject"/>
    <w:uiPriority w:val="99"/>
    <w:semiHidden/>
    <w:qFormat/>
    <w:rsid w:val="00cc5dd2"/>
    <w:rPr>
      <w:rFonts w:ascii="Times New Roman" w:hAnsi="Times New Roman" w:eastAsia="Times New Roman" w:cs="Times New Roman"/>
      <w:b/>
      <w:bCs/>
      <w:sz w:val="20"/>
      <w:szCs w:val="20"/>
      <w:lang w:val="en-US"/>
    </w:rPr>
  </w:style>
  <w:style w:type="character" w:styleId="Heading4Char" w:customStyle="1">
    <w:name w:val="Heading 4 Char"/>
    <w:basedOn w:val="DefaultParagraphFont"/>
    <w:link w:val="Heading4"/>
    <w:qFormat/>
    <w:rsid w:val="00aa2ac2"/>
    <w:rPr>
      <w:rFonts w:ascii="Times New Roman" w:hAnsi="Times New Roman" w:eastAsia="Times New Roman" w:cs="Times New Roman"/>
    </w:rPr>
  </w:style>
  <w:style w:type="character" w:styleId="Definition" w:customStyle="1">
    <w:name w:val="Definition"/>
    <w:qFormat/>
    <w:rsid w:val="00e8713a"/>
    <w:rPr>
      <w:i/>
    </w:rPr>
  </w:style>
  <w:style w:type="character" w:styleId="FollowedHyperlink">
    <w:name w:val="FollowedHyperlink"/>
    <w:basedOn w:val="DefaultParagraphFont"/>
    <w:uiPriority w:val="99"/>
    <w:semiHidden/>
    <w:unhideWhenUsed/>
    <w:rsid w:val="00757d90"/>
    <w:rPr>
      <w:color w:themeColor="followedHyperlink" w:val="800080"/>
      <w:u w:val="single"/>
    </w:rPr>
  </w:style>
  <w:style w:type="character" w:styleId="SubtitleChar" w:customStyle="1">
    <w:name w:val="Subtitle Char"/>
    <w:basedOn w:val="DefaultParagraphFont"/>
    <w:link w:val="Subtitle"/>
    <w:qFormat/>
    <w:rsid w:val="004759a5"/>
    <w:rPr>
      <w:rFonts w:ascii="Arial" w:hAnsi="Arial" w:eastAsia="Times New Roman" w:cs="Times New Roman"/>
      <w:b/>
      <w:sz w:val="28"/>
      <w:szCs w:val="20"/>
      <w:lang w:val="fr-BE"/>
    </w:rPr>
  </w:style>
  <w:style w:type="character" w:styleId="BodyTextChar" w:customStyle="1">
    <w:name w:val="Body Text Char"/>
    <w:basedOn w:val="DefaultParagraphFont"/>
    <w:qFormat/>
    <w:rsid w:val="006a0bb1"/>
    <w:rPr>
      <w:rFonts w:ascii="Times New Roman" w:hAnsi="Times New Roman" w:eastAsia="Times New Roman" w:cs="Times New Roman"/>
      <w:sz w:val="24"/>
      <w:szCs w:val="20"/>
      <w:lang w:eastAsia="en-GB"/>
    </w:rPr>
  </w:style>
  <w:style w:type="character" w:styleId="NumberedChar" w:customStyle="1">
    <w:name w:val="Numbered Char"/>
    <w:link w:val="Numbered"/>
    <w:qFormat/>
    <w:rsid w:val="00ce78b2"/>
    <w:rPr>
      <w:rFonts w:ascii="Times New Roman" w:hAnsi="Times New Roman" w:eastAsia="Times New Roman" w:cs="Times New Roman"/>
      <w:sz w:val="24"/>
      <w:szCs w:val="24"/>
      <w:lang w:eastAsia="en-GB"/>
    </w:rPr>
  </w:style>
  <w:style w:type="character" w:styleId="normaltextrun" w:customStyle="1">
    <w:name w:val="normaltextrun"/>
    <w:basedOn w:val="DefaultParagraphFont"/>
    <w:qFormat/>
    <w:rsid w:val="007e559c"/>
    <w:rPr/>
  </w:style>
  <w:style w:type="character" w:styleId="eop" w:customStyle="1">
    <w:name w:val="eop"/>
    <w:basedOn w:val="DefaultParagraphFont"/>
    <w:qFormat/>
    <w:rsid w:val="00ba29bb"/>
    <w:rPr/>
  </w:style>
  <w:style w:type="character" w:styleId="highlight" w:customStyle="1">
    <w:name w:val="highlight"/>
    <w:basedOn w:val="DefaultParagraphFont"/>
    <w:qFormat/>
    <w:rsid w:val="00fe3a8c"/>
    <w:rPr>
      <w:rFonts w:cs="Times New Roman"/>
    </w:rPr>
  </w:style>
  <w:style w:type="character" w:styleId="EndnoteTextChar" w:customStyle="1">
    <w:name w:val="Endnote Text Char"/>
    <w:basedOn w:val="DefaultParagraphFont"/>
    <w:link w:val="EndnoteText"/>
    <w:uiPriority w:val="99"/>
    <w:semiHidden/>
    <w:qFormat/>
    <w:rsid w:val="00d831c6"/>
    <w:rPr>
      <w:rFonts w:ascii="Times New Roman" w:hAnsi="Times New Roman" w:eastAsia="Times New Roman" w:cs="Times New Roman"/>
      <w:sz w:val="20"/>
      <w:szCs w:val="20"/>
      <w:lang w:val="en-US"/>
    </w:rPr>
  </w:style>
  <w:style w:type="character" w:styleId="EndnoteCharacters">
    <w:name w:val="Endnote Characters"/>
    <w:uiPriority w:val="99"/>
    <w:semiHidden/>
    <w:unhideWhenUsed/>
    <w:qFormat/>
    <w:rsid w:val="00d831c6"/>
    <w:rPr>
      <w:vertAlign w:val="superscript"/>
    </w:rPr>
  </w:style>
  <w:style w:type="character" w:styleId="EndnoteCharactersuser">
    <w:name w:val="Endnote Characters (user)"/>
    <w:qFormat/>
    <w:rPr>
      <w:vertAlign w:val="superscript"/>
    </w:rPr>
  </w:style>
  <w:style w:type="character" w:styleId="EndnoteReference">
    <w:name w:val="endnote reference"/>
    <w:rPr>
      <w:vertAlign w:val="superscript"/>
    </w:rPr>
  </w:style>
  <w:style w:type="character" w:styleId="UnresolvedMention" w:customStyle="1">
    <w:name w:val="Unresolved Mention"/>
    <w:basedOn w:val="DefaultParagraphFont"/>
    <w:uiPriority w:val="99"/>
    <w:semiHidden/>
    <w:unhideWhenUsed/>
    <w:qFormat/>
    <w:rsid w:val="00b3579a"/>
    <w:rPr>
      <w:color w:val="605E5C"/>
      <w:shd w:fill="E1DFDD" w:val="clear"/>
    </w:rPr>
  </w:style>
  <w:style w:type="character" w:styleId="cf01" w:customStyle="1">
    <w:name w:val="cf01"/>
    <w:basedOn w:val="DefaultParagraphFont"/>
    <w:qFormat/>
    <w:rsid w:val="005772f4"/>
    <w:rPr>
      <w:rFonts w:ascii="Segoe UI" w:hAnsi="Segoe UI" w:cs="Segoe UI"/>
      <w:sz w:val="18"/>
      <w:szCs w:val="18"/>
    </w:rPr>
  </w:style>
  <w:style w:type="character" w:styleId="Heading2Char" w:customStyle="1">
    <w:name w:val="Heading 2 Char"/>
    <w:basedOn w:val="DefaultParagraphFont"/>
    <w:link w:val="Heading2"/>
    <w:uiPriority w:val="9"/>
    <w:semiHidden/>
    <w:qFormat/>
    <w:rsid w:val="00df455d"/>
    <w:rPr>
      <w:rFonts w:ascii="Cambria" w:hAnsi="Cambria" w:eastAsia="" w:cs="" w:asciiTheme="majorHAnsi" w:cstheme="majorBidi" w:eastAsiaTheme="majorEastAsia" w:hAnsiTheme="majorHAnsi"/>
      <w:color w:themeColor="accent1" w:themeShade="bf" w:val="365F91"/>
      <w:sz w:val="26"/>
      <w:szCs w:val="26"/>
      <w:lang w:val="en-US"/>
    </w:rPr>
  </w:style>
  <w:style w:type="character" w:styleId="Heading3Char" w:customStyle="1">
    <w:name w:val="Heading 3 Char"/>
    <w:basedOn w:val="DefaultParagraphFont"/>
    <w:link w:val="Heading3"/>
    <w:uiPriority w:val="9"/>
    <w:semiHidden/>
    <w:qFormat/>
    <w:rsid w:val="00d65e50"/>
    <w:rPr>
      <w:rFonts w:ascii="Cambria" w:hAnsi="Cambria" w:eastAsia="" w:cs="" w:asciiTheme="majorHAnsi" w:cstheme="majorBidi" w:eastAsiaTheme="majorEastAsia" w:hAnsiTheme="majorHAnsi"/>
      <w:color w:themeColor="accent1" w:themeShade="7f" w:val="243F60"/>
      <w:sz w:val="24"/>
      <w:szCs w:val="24"/>
      <w:lang w:val="en-US"/>
    </w:rPr>
  </w:style>
  <w:style w:type="paragraph" w:styleId="Heading">
    <w:name w:val="Heading"/>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link w:val="BodyTextChar"/>
    <w:rsid w:val="006a0bb1"/>
    <w:pPr>
      <w:widowControl/>
      <w:spacing w:before="0" w:after="0"/>
    </w:pPr>
    <w:rPr>
      <w:lang w:val="en-GB" w:eastAsia="en-GB"/>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Blockquote" w:customStyle="1">
    <w:name w:val="Blockquote"/>
    <w:basedOn w:val="Normal"/>
    <w:qFormat/>
    <w:rsid w:val="00ea6c7c"/>
    <w:pPr>
      <w:ind w:left="360" w:right="360"/>
    </w:pPr>
    <w:rPr/>
  </w:style>
  <w:style w:type="paragraph" w:styleId="ListParagraph">
    <w:name w:val="List Paragraph"/>
    <w:basedOn w:val="Normal"/>
    <w:uiPriority w:val="34"/>
    <w:qFormat/>
    <w:rsid w:val="00ea6c7c"/>
    <w:pPr>
      <w:spacing w:before="100" w:after="100"/>
      <w:ind w:left="720"/>
      <w:contextualSpacing/>
    </w:pPr>
    <w:rPr/>
  </w:style>
  <w:style w:type="paragraph" w:styleId="FootnoteText">
    <w:name w:val="footnote text"/>
    <w:basedOn w:val="Normal"/>
    <w:link w:val="FootnoteTextChar"/>
    <w:unhideWhenUsed/>
    <w:rsid w:val="000a4362"/>
    <w:pPr>
      <w:spacing w:before="0" w:after="0"/>
    </w:pPr>
    <w:rPr>
      <w:sz w:val="20"/>
    </w:rPr>
  </w:style>
  <w:style w:type="paragraph" w:styleId="PRAGHeading2" w:customStyle="1">
    <w:name w:val="PRAG Heading 2"/>
    <w:basedOn w:val="Normal"/>
    <w:qFormat/>
    <w:rsid w:val="00aa22a5"/>
    <w:pPr>
      <w:numPr>
        <w:ilvl w:val="0"/>
        <w:numId w:val="2"/>
      </w:numPr>
    </w:pPr>
    <w:rPr>
      <w:lang w:val="fr-FR"/>
    </w:rPr>
  </w:style>
  <w:style w:type="paragraph" w:styleId="Default" w:customStyle="1">
    <w:name w:val="Default"/>
    <w:qFormat/>
    <w:rsid w:val="00aa22a5"/>
    <w:pPr>
      <w:widowControl/>
      <w:suppressAutoHyphens w:val="true"/>
      <w:bidi w:val="0"/>
      <w:spacing w:lineRule="auto" w:line="240" w:before="0" w:after="0"/>
      <w:jc w:val="left"/>
    </w:pPr>
    <w:rPr>
      <w:rFonts w:ascii="Minion Pro" w:hAnsi="Minion Pro" w:eastAsia="Times New Roman" w:cs="Minion Pro"/>
      <w:color w:val="000000"/>
      <w:kern w:val="0"/>
      <w:sz w:val="24"/>
      <w:szCs w:val="24"/>
      <w:lang w:val="en-GB" w:eastAsia="en-GB" w:bidi="ar-SA"/>
    </w:rPr>
  </w:style>
  <w:style w:type="paragraph" w:styleId="HeaderandFooter">
    <w:name w:val="Header and Footer"/>
    <w:basedOn w:val="Normal"/>
    <w:qFormat/>
    <w:pPr/>
    <w:rPr/>
  </w:style>
  <w:style w:type="paragraph" w:styleId="Header">
    <w:name w:val="header"/>
    <w:basedOn w:val="Normal"/>
    <w:link w:val="HeaderChar"/>
    <w:uiPriority w:val="99"/>
    <w:unhideWhenUsed/>
    <w:rsid w:val="00b2271a"/>
    <w:pPr>
      <w:tabs>
        <w:tab w:val="clear" w:pos="720"/>
        <w:tab w:val="center" w:pos="4536" w:leader="none"/>
        <w:tab w:val="right" w:pos="9072" w:leader="none"/>
      </w:tabs>
      <w:spacing w:before="0" w:after="0"/>
    </w:pPr>
    <w:rPr/>
  </w:style>
  <w:style w:type="paragraph" w:styleId="Footer">
    <w:name w:val="footer"/>
    <w:basedOn w:val="Normal"/>
    <w:link w:val="FooterChar"/>
    <w:uiPriority w:val="99"/>
    <w:unhideWhenUsed/>
    <w:rsid w:val="00b2271a"/>
    <w:pPr>
      <w:tabs>
        <w:tab w:val="clear" w:pos="720"/>
        <w:tab w:val="center" w:pos="4536" w:leader="none"/>
        <w:tab w:val="right" w:pos="9072" w:leader="none"/>
      </w:tabs>
      <w:spacing w:before="0" w:after="0"/>
    </w:pPr>
    <w:rPr/>
  </w:style>
  <w:style w:type="paragraph" w:styleId="BalloonText">
    <w:name w:val="Balloon Text"/>
    <w:basedOn w:val="Normal"/>
    <w:link w:val="BalloonTextChar"/>
    <w:uiPriority w:val="99"/>
    <w:semiHidden/>
    <w:unhideWhenUsed/>
    <w:qFormat/>
    <w:rsid w:val="009a3842"/>
    <w:pPr>
      <w:spacing w:before="0" w:after="0"/>
    </w:pPr>
    <w:rPr>
      <w:rFonts w:ascii="Tahoma" w:hAnsi="Tahoma" w:cs="Tahoma"/>
      <w:sz w:val="16"/>
      <w:szCs w:val="16"/>
    </w:rPr>
  </w:style>
  <w:style w:type="paragraph" w:styleId="CommentText">
    <w:name w:val="annotation text"/>
    <w:basedOn w:val="Normal"/>
    <w:link w:val="CommentTextChar"/>
    <w:uiPriority w:val="99"/>
    <w:unhideWhenUsed/>
    <w:rsid w:val="00cc5dd2"/>
    <w:pPr/>
    <w:rPr>
      <w:sz w:val="20"/>
    </w:rPr>
  </w:style>
  <w:style w:type="paragraph" w:styleId="annotationsubject">
    <w:name w:val="annotation subject"/>
    <w:basedOn w:val="CommentText"/>
    <w:next w:val="CommentText"/>
    <w:link w:val="CommentSubjectChar"/>
    <w:uiPriority w:val="99"/>
    <w:semiHidden/>
    <w:unhideWhenUsed/>
    <w:qFormat/>
    <w:rsid w:val="00cc5dd2"/>
    <w:pPr/>
    <w:rPr>
      <w:b/>
      <w:bCs/>
    </w:rPr>
  </w:style>
  <w:style w:type="paragraph" w:styleId="H6" w:customStyle="1">
    <w:name w:val="H6"/>
    <w:basedOn w:val="Normal"/>
    <w:next w:val="Normal"/>
    <w:qFormat/>
    <w:rsid w:val="000557ac"/>
    <w:pPr>
      <w:keepNext w:val="true"/>
      <w:outlineLvl w:val="6"/>
    </w:pPr>
    <w:rPr>
      <w:b/>
      <w:sz w:val="16"/>
    </w:rPr>
  </w:style>
  <w:style w:type="paragraph" w:styleId="DefinitionTerm" w:customStyle="1">
    <w:name w:val="Definition Term"/>
    <w:basedOn w:val="Normal"/>
    <w:next w:val="Normal"/>
    <w:qFormat/>
    <w:rsid w:val="00337e2a"/>
    <w:pPr>
      <w:spacing w:before="0" w:after="0"/>
    </w:pPr>
    <w:rPr/>
  </w:style>
  <w:style w:type="paragraph" w:styleId="Revision">
    <w:name w:val="Revision"/>
    <w:uiPriority w:val="99"/>
    <w:semiHidden/>
    <w:qFormat/>
    <w:rsid w:val="00401fe1"/>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0"/>
      <w:lang w:val="en-US" w:eastAsia="en-US" w:bidi="ar-SA"/>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paragraph" w:styleId="Numbered" w:customStyle="1">
    <w:name w:val="Numbered"/>
    <w:basedOn w:val="Normal"/>
    <w:link w:val="NumberedChar"/>
    <w:qFormat/>
    <w:rsid w:val="00ce78b2"/>
    <w:pPr>
      <w:widowControl/>
      <w:numPr>
        <w:ilvl w:val="0"/>
        <w:numId w:val="3"/>
      </w:numPr>
      <w:spacing w:before="0" w:after="0"/>
      <w:jc w:val="both"/>
    </w:pPr>
    <w:rPr>
      <w:szCs w:val="24"/>
      <w:lang w:val="en-GB" w:eastAsia="en-GB"/>
    </w:rPr>
  </w:style>
  <w:style w:type="paragraph" w:styleId="paragraph" w:customStyle="1">
    <w:name w:val="paragraph"/>
    <w:basedOn w:val="Normal"/>
    <w:qFormat/>
    <w:rsid w:val="00f72244"/>
    <w:pPr>
      <w:widowControl/>
      <w:spacing w:beforeAutospacing="1" w:afterAutospacing="1"/>
    </w:pPr>
    <w:rPr>
      <w:szCs w:val="24"/>
      <w:lang w:val="fr-BE" w:eastAsia="fr-BE"/>
    </w:rPr>
  </w:style>
  <w:style w:type="paragraph" w:styleId="EndnoteText">
    <w:name w:val="endnote text"/>
    <w:basedOn w:val="Normal"/>
    <w:link w:val="EndnoteTextChar"/>
    <w:uiPriority w:val="99"/>
    <w:semiHidden/>
    <w:unhideWhenUsed/>
    <w:rsid w:val="00d831c6"/>
    <w:pPr>
      <w:spacing w:before="0" w:after="0"/>
    </w:pPr>
    <w:rPr>
      <w:sz w:val="20"/>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krivapalanka.gov.mk/" TargetMode="External"/><Relationship Id="rId3" Type="http://schemas.openxmlformats.org/officeDocument/2006/relationships/hyperlink" Target="https://ipa-bgmk.mrrb.bg/" TargetMode="Externa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oter" Target="footer3.xml"/><Relationship Id="rId7" Type="http://schemas.openxmlformats.org/officeDocument/2006/relationships/footnotes" Target="footnotes.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F15C77-1C09-4BDF-B560-71A1DE950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Application>LibreOffice/25.2.2.2$Windows_X86_64 LibreOffice_project/7370d4be9e3cf6031a51beef54ff3bda878e3fac</Application>
  <AppVersion>15.0000</AppVersion>
  <Pages>3</Pages>
  <Words>1322</Words>
  <Characters>7302</Characters>
  <CharactersWithSpaces>8558</CharactersWithSpaces>
  <Paragraphs>72</Paragraphs>
  <Company>European Commission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2025-03-24T12:32:00Z</dcterms:created>
  <dc:creator>REYNOLDS Paul (DEVCO)</dc:creator>
  <dc:description/>
  <dc:language>en-US</dc:language>
  <cp:lastModifiedBy/>
  <cp:lastPrinted>2024-06-06T14:59:00Z</cp:lastPrinted>
  <dcterms:modified xsi:type="dcterms:W3CDTF">2025-06-02T14:38:46Z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ActionId">
    <vt:lpwstr>b0fb3603-4aa0-431f-962e-5858b8f3b08a</vt:lpwstr>
  </property>
  <property fmtid="{D5CDD505-2E9C-101B-9397-08002B2CF9AE}" pid="3" name="MSIP_Label_6bd9ddd1-4d20-43f6-abfa-fc3c07406f94_ContentBits">
    <vt:lpwstr>0</vt:lpwstr>
  </property>
  <property fmtid="{D5CDD505-2E9C-101B-9397-08002B2CF9AE}" pid="4" name="MSIP_Label_6bd9ddd1-4d20-43f6-abfa-fc3c07406f94_Enabled">
    <vt:lpwstr>true</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etDate">
    <vt:lpwstr>2023-04-03T12:18:44Z</vt:lpwstr>
  </property>
  <property fmtid="{D5CDD505-2E9C-101B-9397-08002B2CF9AE}" pid="8" name="MSIP_Label_6bd9ddd1-4d20-43f6-abfa-fc3c07406f94_SiteId">
    <vt:lpwstr>b24c8b06-522c-46fe-9080-70926f8dddb1</vt:lpwstr>
  </property>
</Properties>
</file>