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240"/>
        <w:jc w:val="center"/>
        <w:rPr>
          <w:highlight w:val="none"/>
          <w:shd w:fill="auto" w:val="clear"/>
        </w:rPr>
      </w:pPr>
      <w:bookmarkStart w:id="0" w:name="_Toc41823817"/>
      <w:bookmarkStart w:id="1" w:name="_Toc41877028"/>
      <w:r>
        <w:rPr>
          <w:b/>
          <w:sz w:val="36"/>
          <w:shd w:fill="auto" w:val="clear"/>
        </w:rPr>
        <w:t>VOLUME 1</w:t>
      </w:r>
      <w:bookmarkEnd w:id="0"/>
      <w:bookmarkEnd w:id="1"/>
    </w:p>
    <w:p>
      <w:pPr>
        <w:pStyle w:val="Normal"/>
        <w:spacing w:before="240" w:after="240"/>
        <w:jc w:val="center"/>
        <w:rPr>
          <w:highlight w:val="none"/>
          <w:shd w:fill="auto" w:val="clear"/>
        </w:rPr>
      </w:pPr>
      <w:bookmarkStart w:id="2" w:name="_Toc41823818"/>
      <w:r>
        <w:rPr>
          <w:b/>
          <w:sz w:val="36"/>
          <w:shd w:fill="auto" w:val="clear"/>
        </w:rPr>
        <w:t>SECTION 1:</w:t>
      </w:r>
      <w:bookmarkEnd w:id="2"/>
      <w:r>
        <w:rPr>
          <w:b/>
          <w:sz w:val="36"/>
          <w:shd w:fill="auto" w:val="clear"/>
        </w:rPr>
        <w:t xml:space="preserve"> </w:t>
      </w:r>
      <w:bookmarkStart w:id="3" w:name="_Toc41823819"/>
    </w:p>
    <w:p>
      <w:pPr>
        <w:pStyle w:val="Normal"/>
        <w:spacing w:before="240" w:after="240"/>
        <w:jc w:val="center"/>
        <w:rPr>
          <w:highlight w:val="none"/>
          <w:shd w:fill="auto" w:val="clear"/>
        </w:rPr>
      </w:pPr>
      <w:bookmarkStart w:id="4" w:name="_Toc41877029"/>
      <w:r>
        <w:rPr>
          <w:b/>
          <w:sz w:val="36"/>
          <w:shd w:fill="auto" w:val="clear"/>
        </w:rPr>
        <w:t>INSTRUCTIONS TO TENDERERS</w:t>
      </w:r>
      <w:bookmarkEnd w:id="3"/>
      <w:bookmarkEnd w:id="4"/>
      <w:r>
        <w:br w:type="page"/>
      </w:r>
    </w:p>
    <w:p>
      <w:pPr>
        <w:pStyle w:val="Normal"/>
        <w:spacing w:before="0" w:after="120"/>
        <w:jc w:val="center"/>
        <w:rPr>
          <w:highlight w:val="none"/>
          <w:shd w:fill="auto" w:val="clear"/>
        </w:rPr>
      </w:pPr>
      <w:r>
        <w:rPr>
          <w:b/>
          <w:sz w:val="28"/>
          <w:szCs w:val="28"/>
          <w:shd w:fill="auto" w:val="clear"/>
        </w:rPr>
        <w:t>VOLUME 1 SECTION 1 - INSTRUCTIONS TO TENDERERS</w:t>
      </w:r>
    </w:p>
    <w:p>
      <w:pPr>
        <w:pStyle w:val="Subtitle"/>
        <w:spacing w:before="600" w:after="240"/>
        <w:jc w:val="left"/>
        <w:rPr>
          <w:highlight w:val="none"/>
          <w:shd w:fill="auto" w:val="clear"/>
        </w:rPr>
      </w:pPr>
      <w:r>
        <w:rPr>
          <w:rFonts w:ascii="Times New Roman" w:hAnsi="Times New Roman"/>
          <w:sz w:val="22"/>
          <w:szCs w:val="22"/>
          <w:shd w:fill="auto" w:val="clear"/>
          <w:lang w:val="en-GB"/>
        </w:rPr>
        <w:t>PUBLICATION REF.: Adventure</w:t>
      </w:r>
      <w:r>
        <w:rPr>
          <w:rFonts w:ascii="Times New Roman" w:hAnsi="Times New Roman"/>
          <w:i/>
          <w:sz w:val="22"/>
          <w:szCs w:val="22"/>
          <w:shd w:fill="auto" w:val="clear"/>
          <w:lang w:val="en-GB"/>
        </w:rPr>
        <w:t xml:space="preserve"> </w:t>
      </w:r>
      <w:r>
        <w:rPr>
          <w:rFonts w:ascii="Times New Roman" w:hAnsi="Times New Roman"/>
          <w:sz w:val="22"/>
          <w:szCs w:val="22"/>
          <w:shd w:fill="auto" w:val="clear"/>
          <w:lang w:val="en-GB"/>
        </w:rPr>
        <w:t>Park 01-02</w:t>
      </w:r>
    </w:p>
    <w:p>
      <w:pPr>
        <w:pStyle w:val="Subtitle"/>
        <w:spacing w:before="240" w:after="240"/>
        <w:jc w:val="both"/>
        <w:rPr>
          <w:highlight w:val="none"/>
          <w:shd w:fill="auto" w:val="clear"/>
        </w:rPr>
      </w:pPr>
      <w:r>
        <w:rPr>
          <w:rFonts w:ascii="Times New Roman" w:hAnsi="Times New Roman"/>
          <w:sz w:val="22"/>
          <w:szCs w:val="22"/>
          <w:shd w:fill="auto" w:val="clear"/>
          <w:lang w:val="en-GB"/>
        </w:rPr>
        <w:t>In submitting a tender, the tenderer accepts in full and without restriction the main,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pPr>
        <w:pStyle w:val="Subtitle"/>
        <w:spacing w:before="0" w:after="240"/>
        <w:jc w:val="both"/>
        <w:rPr/>
      </w:pPr>
      <w:r>
        <w:rPr>
          <w:rFonts w:ascii="Times New Roman" w:hAnsi="Times New Roman"/>
          <w:sz w:val="22"/>
          <w:szCs w:val="22"/>
          <w:shd w:fill="auto" w:val="clear"/>
          <w:lang w:val="en-GB"/>
        </w:rPr>
        <w:t>These instructions set out the rules for the submission, selection and implementation of contracts financed under this call for tenders, in conformity with the provisions of the practical guide, which is applicable to this call (available on the internet at this address:</w:t>
      </w:r>
      <w:r>
        <w:rPr>
          <w:shd w:fill="auto" w:val="clear"/>
          <w:lang w:val="en-IE"/>
        </w:rPr>
        <w:t xml:space="preserve"> </w:t>
      </w:r>
      <w:hyperlink r:id="rId2">
        <w:r>
          <w:rPr>
            <w:rStyle w:val="Hyperlink"/>
            <w:rFonts w:ascii="Times New Roman" w:hAnsi="Times New Roman"/>
            <w:sz w:val="22"/>
            <w:shd w:fill="auto" w:val="clear"/>
            <w:lang w:val="en-IE"/>
          </w:rPr>
          <w:t>https://wikis.ec.europa.eu/display/ExactExternalWiki/ePRAG</w:t>
        </w:r>
      </w:hyperlink>
      <w:r>
        <w:rPr>
          <w:rFonts w:ascii="Times New Roman" w:hAnsi="Times New Roman"/>
          <w:sz w:val="22"/>
          <w:szCs w:val="22"/>
          <w:shd w:fill="auto" w:val="clear"/>
          <w:lang w:val="en-GB"/>
        </w:rPr>
        <w:t xml:space="preserve"> ).</w:t>
      </w:r>
      <w:r>
        <w:br w:type="page"/>
      </w:r>
    </w:p>
    <w:p>
      <w:pPr>
        <w:pStyle w:val="Normal"/>
        <w:spacing w:before="0" w:after="120"/>
        <w:jc w:val="center"/>
        <w:rPr>
          <w:highlight w:val="none"/>
          <w:shd w:fill="auto" w:val="clear"/>
        </w:rPr>
      </w:pPr>
      <w:r>
        <w:rPr>
          <w:b/>
          <w:szCs w:val="22"/>
          <w:shd w:fill="auto" w:val="clear"/>
        </w:rPr>
        <w:t>CONTENTS</w:t>
      </w:r>
    </w:p>
    <w:p>
      <w:pPr>
        <w:pStyle w:val="Normal"/>
        <w:rPr>
          <w:szCs w:val="22"/>
          <w:highlight w:val="none"/>
          <w:shd w:fill="auto" w:val="clear"/>
        </w:rPr>
      </w:pPr>
      <w:r>
        <w:rPr>
          <w:szCs w:val="22"/>
          <w:shd w:fill="auto" w:val="clear"/>
        </w:rPr>
      </w:r>
    </w:p>
    <w:sdt>
      <w:sdtPr>
        <w:docPartObj>
          <w:docPartGallery w:val="Table of Contents"/>
          <w:docPartUnique w:val="true"/>
        </w:docPartObj>
      </w:sdtPr>
      <w:sdtContent>
        <w:p>
          <w:pPr>
            <w:pStyle w:val="TOC1"/>
            <w:rPr>
              <w:highlight w:val="none"/>
              <w:shd w:fill="auto" w:val="clear"/>
            </w:rPr>
          </w:pPr>
          <w:r>
            <w:fldChar w:fldCharType="begin"/>
          </w:r>
          <w:r>
            <w:rPr>
              <w:shd w:fill="auto" w:val="clear"/>
            </w:rPr>
            <w:instrText xml:space="preserve"> TOC \o "1-1" \t "heading 2,2" \h</w:instrText>
          </w:r>
          <w:r>
            <w:rPr>
              <w:shd w:fill="auto" w:val="clear"/>
            </w:rPr>
            <w:fldChar w:fldCharType="separate"/>
          </w:r>
          <w:r>
            <w:rPr>
              <w:shd w:fill="auto" w:val="clear"/>
            </w:rPr>
            <w:t>GENERAL PART</w:t>
            <w:tab/>
            <w:t>4</w:t>
          </w:r>
        </w:p>
        <w:p>
          <w:pPr>
            <w:pStyle w:val="TOC2"/>
            <w:rPr>
              <w:highlight w:val="none"/>
              <w:shd w:fill="auto" w:val="clear"/>
            </w:rPr>
          </w:pPr>
          <w:r>
            <w:rPr>
              <w:rFonts w:ascii="Times New Roman Bold" w:hAnsi="Times New Roman Bold"/>
              <w:shd w:fill="auto" w:val="clear"/>
            </w:rPr>
            <w:t>1.</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GENERAL INSTRUCTIONS</w:t>
            <w:tab/>
            <w:t>4</w:t>
          </w:r>
        </w:p>
        <w:p>
          <w:pPr>
            <w:pStyle w:val="TOC2"/>
            <w:rPr>
              <w:highlight w:val="none"/>
              <w:shd w:fill="auto" w:val="clear"/>
            </w:rPr>
          </w:pPr>
          <w:r>
            <w:rPr>
              <w:rFonts w:ascii="Times New Roman Bold" w:hAnsi="Times New Roman Bold"/>
              <w:shd w:fill="auto" w:val="clear"/>
            </w:rPr>
            <w:t>2.</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FINANCING</w:t>
            <w:tab/>
            <w:t>4</w:t>
          </w:r>
        </w:p>
        <w:p>
          <w:pPr>
            <w:pStyle w:val="TOC2"/>
            <w:rPr>
              <w:highlight w:val="none"/>
              <w:shd w:fill="auto" w:val="clear"/>
            </w:rPr>
          </w:pPr>
          <w:r>
            <w:rPr>
              <w:rFonts w:ascii="Times New Roman Bold" w:hAnsi="Times New Roman Bold"/>
              <w:shd w:fill="auto" w:val="clear"/>
            </w:rPr>
            <w:t>3.</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PARTICIPATION</w:t>
            <w:tab/>
            <w:t>4</w:t>
          </w:r>
        </w:p>
        <w:p>
          <w:pPr>
            <w:pStyle w:val="TOC2"/>
            <w:rPr>
              <w:highlight w:val="none"/>
              <w:shd w:fill="auto" w:val="clear"/>
            </w:rPr>
          </w:pPr>
          <w:r>
            <w:rPr>
              <w:rFonts w:ascii="Times New Roman Bold" w:hAnsi="Times New Roman Bold"/>
              <w:shd w:fill="auto" w:val="clear"/>
            </w:rPr>
            <w:t>4.</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ONLY ONE TENDER PER TENDERER</w:t>
            <w:tab/>
            <w:t>5</w:t>
          </w:r>
        </w:p>
        <w:p>
          <w:pPr>
            <w:pStyle w:val="TOC2"/>
            <w:rPr>
              <w:highlight w:val="none"/>
              <w:shd w:fill="auto" w:val="clear"/>
            </w:rPr>
          </w:pPr>
          <w:r>
            <w:rPr>
              <w:rFonts w:ascii="Times New Roman Bold" w:hAnsi="Times New Roman Bold"/>
              <w:shd w:fill="auto" w:val="clear"/>
            </w:rPr>
            <w:t>5.</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TENDER EXPENSES</w:t>
            <w:tab/>
            <w:t>5</w:t>
          </w:r>
        </w:p>
        <w:p>
          <w:pPr>
            <w:pStyle w:val="TOC2"/>
            <w:rPr>
              <w:highlight w:val="none"/>
              <w:shd w:fill="auto" w:val="clear"/>
            </w:rPr>
          </w:pPr>
          <w:r>
            <w:rPr>
              <w:rFonts w:ascii="Times New Roman Bold" w:hAnsi="Times New Roman Bold"/>
              <w:shd w:fill="auto" w:val="clear"/>
            </w:rPr>
            <w:t>6.</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SITE VISIT AND CLARIFICATION MEETING</w:t>
            <w:tab/>
            <w:t>5</w:t>
          </w:r>
        </w:p>
        <w:p>
          <w:pPr>
            <w:pStyle w:val="TOC2"/>
            <w:rPr>
              <w:highlight w:val="none"/>
              <w:shd w:fill="auto" w:val="clear"/>
            </w:rPr>
          </w:pPr>
          <w:r>
            <w:rPr>
              <w:rFonts w:ascii="Times New Roman Bold" w:hAnsi="Times New Roman Bold"/>
              <w:shd w:fill="auto" w:val="clear"/>
            </w:rPr>
            <w:t>7.</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CONTENT OF TENDER DOCUMENTS</w:t>
            <w:tab/>
            <w:t>5</w:t>
          </w:r>
        </w:p>
        <w:p>
          <w:pPr>
            <w:pStyle w:val="TOC2"/>
            <w:rPr>
              <w:highlight w:val="none"/>
              <w:shd w:fill="auto" w:val="clear"/>
            </w:rPr>
          </w:pPr>
          <w:r>
            <w:rPr>
              <w:rFonts w:ascii="Times New Roman Bold" w:hAnsi="Times New Roman Bold"/>
              <w:shd w:fill="auto" w:val="clear"/>
            </w:rPr>
            <w:t>8.</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EXPLANATIONS CONCERNING TENDER DOCUMENTS</w:t>
            <w:tab/>
            <w:t>5</w:t>
          </w:r>
        </w:p>
        <w:p>
          <w:pPr>
            <w:pStyle w:val="TOC2"/>
            <w:rPr>
              <w:highlight w:val="none"/>
              <w:shd w:fill="auto" w:val="clear"/>
            </w:rPr>
          </w:pPr>
          <w:r>
            <w:rPr>
              <w:rFonts w:ascii="Times New Roman Bold" w:hAnsi="Times New Roman Bold"/>
              <w:shd w:fill="auto" w:val="clear"/>
            </w:rPr>
            <w:t>9.</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MODIFICATIONS OF TENDER DOCUMENTS</w:t>
            <w:tab/>
            <w:t>6</w:t>
          </w:r>
        </w:p>
        <w:p>
          <w:pPr>
            <w:pStyle w:val="TOC1"/>
            <w:rPr>
              <w:highlight w:val="none"/>
              <w:shd w:fill="auto" w:val="clear"/>
            </w:rPr>
          </w:pPr>
          <w:r>
            <w:rPr>
              <w:shd w:fill="auto" w:val="clear"/>
            </w:rPr>
            <w:t>TENDER PREPARATION</w:t>
            <w:tab/>
            <w:t>6</w:t>
          </w:r>
        </w:p>
        <w:p>
          <w:pPr>
            <w:pStyle w:val="TOC2"/>
            <w:rPr>
              <w:highlight w:val="none"/>
              <w:shd w:fill="auto" w:val="clear"/>
            </w:rPr>
          </w:pPr>
          <w:r>
            <w:rPr>
              <w:rFonts w:ascii="Times New Roman Bold" w:hAnsi="Times New Roman Bold"/>
              <w:shd w:fill="auto" w:val="clear"/>
            </w:rPr>
            <w:t>10.</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LANGUAGE OF TENDERS</w:t>
            <w:tab/>
            <w:t>6</w:t>
          </w:r>
        </w:p>
        <w:p>
          <w:pPr>
            <w:pStyle w:val="TOC2"/>
            <w:rPr>
              <w:highlight w:val="none"/>
              <w:shd w:fill="auto" w:val="clear"/>
            </w:rPr>
          </w:pPr>
          <w:r>
            <w:rPr>
              <w:rFonts w:ascii="Times New Roman Bold" w:hAnsi="Times New Roman Bold"/>
              <w:shd w:fill="auto" w:val="clear"/>
            </w:rPr>
            <w:t>11.</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CONTENT AND PRESENTATION OF TENDER</w:t>
            <w:tab/>
            <w:t>6</w:t>
          </w:r>
        </w:p>
        <w:p>
          <w:pPr>
            <w:pStyle w:val="TOC2"/>
            <w:rPr>
              <w:highlight w:val="none"/>
              <w:shd w:fill="auto" w:val="clear"/>
            </w:rPr>
          </w:pPr>
          <w:r>
            <w:rPr>
              <w:rFonts w:ascii="Times New Roman Bold" w:hAnsi="Times New Roman Bold"/>
              <w:shd w:fill="auto" w:val="clear"/>
            </w:rPr>
            <w:t>12.</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INFORMATION/DOCUMENTS TO BE SUPPLIED BY THE TENDERER</w:t>
            <w:tab/>
            <w:t>6</w:t>
          </w:r>
        </w:p>
        <w:p>
          <w:pPr>
            <w:pStyle w:val="TOC2"/>
            <w:rPr>
              <w:highlight w:val="none"/>
              <w:shd w:fill="auto" w:val="clear"/>
            </w:rPr>
          </w:pPr>
          <w:r>
            <w:rPr>
              <w:rFonts w:ascii="Times New Roman Bold" w:hAnsi="Times New Roman Bold"/>
              <w:shd w:fill="auto" w:val="clear"/>
            </w:rPr>
            <w:t>13.</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TENDER PRICES</w:t>
            <w:tab/>
            <w:t>11</w:t>
          </w:r>
        </w:p>
        <w:p>
          <w:pPr>
            <w:pStyle w:val="TOC2"/>
            <w:rPr>
              <w:highlight w:val="none"/>
              <w:shd w:fill="auto" w:val="clear"/>
            </w:rPr>
          </w:pPr>
          <w:r>
            <w:rPr>
              <w:rFonts w:ascii="Times New Roman Bold" w:hAnsi="Times New Roman Bold"/>
              <w:shd w:fill="auto" w:val="clear"/>
            </w:rPr>
            <w:t>14.</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PERIOD OF VALIDITY OF TENDERS</w:t>
            <w:tab/>
            <w:t>11</w:t>
          </w:r>
        </w:p>
        <w:p>
          <w:pPr>
            <w:pStyle w:val="TOC2"/>
            <w:rPr>
              <w:highlight w:val="none"/>
              <w:shd w:fill="auto" w:val="clear"/>
            </w:rPr>
          </w:pPr>
          <w:r>
            <w:rPr>
              <w:rFonts w:ascii="Times New Roman Bold" w:hAnsi="Times New Roman Bold"/>
              <w:shd w:fill="auto" w:val="clear"/>
            </w:rPr>
            <w:t>15.</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TENDER GUARANTEE</w:t>
            <w:tab/>
            <w:t>12</w:t>
          </w:r>
        </w:p>
        <w:p>
          <w:pPr>
            <w:pStyle w:val="TOC2"/>
            <w:rPr>
              <w:highlight w:val="none"/>
              <w:shd w:fill="auto" w:val="clear"/>
            </w:rPr>
          </w:pPr>
          <w:r>
            <w:rPr>
              <w:rFonts w:ascii="Times New Roman Bold" w:hAnsi="Times New Roman Bold"/>
              <w:shd w:fill="auto" w:val="clear"/>
            </w:rPr>
            <w:t>16.</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VARIANT SOLUTIONS</w:t>
            <w:tab/>
            <w:t>12</w:t>
          </w:r>
        </w:p>
        <w:p>
          <w:pPr>
            <w:pStyle w:val="TOC1"/>
            <w:rPr>
              <w:highlight w:val="none"/>
              <w:shd w:fill="auto" w:val="clear"/>
            </w:rPr>
          </w:pPr>
          <w:r>
            <w:rPr>
              <w:shd w:fill="auto" w:val="clear"/>
            </w:rPr>
            <w:t>SUBMISSION OF TENDERS</w:t>
            <w:tab/>
            <w:t>12</w:t>
          </w:r>
        </w:p>
        <w:p>
          <w:pPr>
            <w:pStyle w:val="TOC2"/>
            <w:rPr>
              <w:highlight w:val="none"/>
              <w:shd w:fill="auto" w:val="clear"/>
            </w:rPr>
          </w:pPr>
          <w:r>
            <w:rPr>
              <w:rFonts w:ascii="Times New Roman Bold" w:hAnsi="Times New Roman Bold"/>
              <w:shd w:fill="auto" w:val="clear"/>
            </w:rPr>
            <w:t>17.</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SUBMITTING TENDERS</w:t>
            <w:tab/>
            <w:t>12</w:t>
          </w:r>
        </w:p>
        <w:p>
          <w:pPr>
            <w:pStyle w:val="TOC2"/>
            <w:rPr>
              <w:highlight w:val="none"/>
              <w:shd w:fill="auto" w:val="clear"/>
            </w:rPr>
          </w:pPr>
          <w:r>
            <w:rPr>
              <w:rFonts w:ascii="Times New Roman Bold" w:hAnsi="Times New Roman Bold"/>
              <w:shd w:fill="auto" w:val="clear"/>
            </w:rPr>
            <w:t>18.</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EXTENSION OF THE DEADLINE FOR SUBMITTING TENDERS</w:t>
            <w:tab/>
            <w:t>13</w:t>
          </w:r>
        </w:p>
        <w:p>
          <w:pPr>
            <w:pStyle w:val="TOC2"/>
            <w:rPr>
              <w:highlight w:val="none"/>
              <w:shd w:fill="auto" w:val="clear"/>
            </w:rPr>
          </w:pPr>
          <w:r>
            <w:rPr>
              <w:rFonts w:ascii="Times New Roman Bold" w:hAnsi="Times New Roman Bold"/>
              <w:shd w:fill="auto" w:val="clear"/>
            </w:rPr>
            <w:t>19.</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LATE TENDERS</w:t>
            <w:tab/>
            <w:t>13</w:t>
          </w:r>
        </w:p>
        <w:p>
          <w:pPr>
            <w:pStyle w:val="TOC2"/>
            <w:rPr>
              <w:highlight w:val="none"/>
              <w:shd w:fill="auto" w:val="clear"/>
            </w:rPr>
          </w:pPr>
          <w:r>
            <w:rPr>
              <w:rFonts w:ascii="Times New Roman Bold" w:hAnsi="Times New Roman Bold"/>
              <w:shd w:fill="auto" w:val="clear"/>
            </w:rPr>
            <w:t>20.</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ALTERING AND WITHDRAWING TENDERS</w:t>
            <w:tab/>
            <w:t>13</w:t>
          </w:r>
        </w:p>
        <w:p>
          <w:pPr>
            <w:pStyle w:val="TOC1"/>
            <w:rPr>
              <w:highlight w:val="none"/>
              <w:shd w:fill="auto" w:val="clear"/>
            </w:rPr>
          </w:pPr>
          <w:r>
            <w:rPr>
              <w:shd w:fill="auto" w:val="clear"/>
            </w:rPr>
            <w:t>OPENING AND EVALUATING TENDERS</w:t>
            <w:tab/>
            <w:t>13</w:t>
          </w:r>
        </w:p>
        <w:p>
          <w:pPr>
            <w:pStyle w:val="TOC2"/>
            <w:rPr>
              <w:highlight w:val="none"/>
              <w:shd w:fill="auto" w:val="clear"/>
            </w:rPr>
          </w:pPr>
          <w:r>
            <w:rPr>
              <w:rFonts w:ascii="Times New Roman Bold" w:hAnsi="Times New Roman Bold"/>
              <w:shd w:fill="auto" w:val="clear"/>
            </w:rPr>
            <w:t>21.</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OPENING TENDERS</w:t>
            <w:tab/>
            <w:t>13</w:t>
          </w:r>
        </w:p>
        <w:p>
          <w:pPr>
            <w:pStyle w:val="TOC2"/>
            <w:rPr>
              <w:highlight w:val="none"/>
              <w:shd w:fill="auto" w:val="clear"/>
            </w:rPr>
          </w:pPr>
          <w:r>
            <w:rPr>
              <w:rFonts w:ascii="Times New Roman Bold" w:hAnsi="Times New Roman Bold"/>
              <w:shd w:fill="auto" w:val="clear"/>
            </w:rPr>
            <w:t>22.</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EVALUATING TENDERS</w:t>
            <w:tab/>
            <w:t>14</w:t>
          </w:r>
        </w:p>
        <w:p>
          <w:pPr>
            <w:pStyle w:val="TOC2"/>
            <w:rPr>
              <w:highlight w:val="none"/>
              <w:shd w:fill="auto" w:val="clear"/>
            </w:rPr>
          </w:pPr>
          <w:r>
            <w:rPr>
              <w:rFonts w:ascii="Times New Roman Bold" w:hAnsi="Times New Roman Bold"/>
              <w:shd w:fill="auto" w:val="clear"/>
            </w:rPr>
            <w:t>23.</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CORRECTING ERRORS</w:t>
            <w:tab/>
            <w:t>15</w:t>
          </w:r>
        </w:p>
        <w:p>
          <w:pPr>
            <w:pStyle w:val="TOC1"/>
            <w:rPr>
              <w:highlight w:val="none"/>
              <w:shd w:fill="auto" w:val="clear"/>
            </w:rPr>
          </w:pPr>
          <w:r>
            <w:rPr>
              <w:shd w:fill="auto" w:val="clear"/>
            </w:rPr>
            <w:t>CONTRACT AWARD</w:t>
            <w:tab/>
            <w:t>16</w:t>
          </w:r>
        </w:p>
        <w:p>
          <w:pPr>
            <w:pStyle w:val="TOC2"/>
            <w:rPr>
              <w:highlight w:val="none"/>
              <w:shd w:fill="auto" w:val="clear"/>
            </w:rPr>
          </w:pPr>
          <w:r>
            <w:rPr>
              <w:rFonts w:ascii="Times New Roman Bold" w:hAnsi="Times New Roman Bold"/>
              <w:shd w:fill="auto" w:val="clear"/>
            </w:rPr>
            <w:t>24.</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AWARD CRITERIA</w:t>
            <w:tab/>
            <w:t>16</w:t>
          </w:r>
        </w:p>
        <w:p>
          <w:pPr>
            <w:pStyle w:val="TOC2"/>
            <w:rPr>
              <w:highlight w:val="none"/>
              <w:shd w:fill="auto" w:val="clear"/>
            </w:rPr>
          </w:pPr>
          <w:r>
            <w:rPr>
              <w:rFonts w:ascii="Times New Roman Bold" w:hAnsi="Times New Roman Bold"/>
              <w:shd w:fill="auto" w:val="clear"/>
            </w:rPr>
            <w:t>25.</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NOTIFICATION OF AWARD, CONTRACT CLARIFICATIONS</w:t>
            <w:tab/>
            <w:t>16</w:t>
          </w:r>
        </w:p>
        <w:p>
          <w:pPr>
            <w:pStyle w:val="TOC2"/>
            <w:rPr>
              <w:highlight w:val="none"/>
              <w:shd w:fill="auto" w:val="clear"/>
            </w:rPr>
          </w:pPr>
          <w:r>
            <w:rPr>
              <w:rFonts w:ascii="Times New Roman Bold" w:hAnsi="Times New Roman Bold"/>
              <w:shd w:fill="auto" w:val="clear"/>
            </w:rPr>
            <w:t>26.</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CONTRACT SIGNING AND PERFORMANCE GUARANTEE</w:t>
            <w:tab/>
            <w:t>16</w:t>
          </w:r>
        </w:p>
        <w:p>
          <w:pPr>
            <w:pStyle w:val="TOC2"/>
            <w:rPr>
              <w:highlight w:val="none"/>
              <w:shd w:fill="auto" w:val="clear"/>
            </w:rPr>
          </w:pPr>
          <w:r>
            <w:rPr>
              <w:rFonts w:ascii="Times New Roman Bold" w:hAnsi="Times New Roman Bold"/>
              <w:shd w:fill="auto" w:val="clear"/>
            </w:rPr>
            <w:t>27.</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CANCELLATION OF THE TENDER PROCEDURE</w:t>
            <w:tab/>
            <w:t>17</w:t>
          </w:r>
        </w:p>
        <w:p>
          <w:pPr>
            <w:pStyle w:val="TOC2"/>
            <w:rPr>
              <w:highlight w:val="none"/>
              <w:shd w:fill="auto" w:val="clear"/>
            </w:rPr>
          </w:pPr>
          <w:r>
            <w:rPr>
              <w:rFonts w:ascii="Times New Roman Bold" w:hAnsi="Times New Roman Bold"/>
              <w:shd w:fill="auto" w:val="clear"/>
            </w:rPr>
            <w:t>28.</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ETHICS, VALUES AND CODE OF CONDUCT</w:t>
            <w:tab/>
            <w:t>17</w:t>
          </w:r>
        </w:p>
        <w:p>
          <w:pPr>
            <w:pStyle w:val="TOC2"/>
            <w:rPr>
              <w:highlight w:val="none"/>
              <w:shd w:fill="auto" w:val="clear"/>
            </w:rPr>
          </w:pPr>
          <w:r>
            <w:rPr>
              <w:rFonts w:ascii="Times New Roman Bold" w:hAnsi="Times New Roman Bold"/>
              <w:shd w:fill="auto" w:val="clear"/>
            </w:rPr>
            <w:t>29.</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APPEALS</w:t>
            <w:tab/>
            <w:t>18</w:t>
          </w:r>
        </w:p>
        <w:p>
          <w:pPr>
            <w:pStyle w:val="TOC2"/>
            <w:rPr>
              <w:highlight w:val="none"/>
              <w:shd w:fill="auto" w:val="clear"/>
            </w:rPr>
          </w:pPr>
          <w:r>
            <w:rPr>
              <w:rFonts w:ascii="Times New Roman Bold" w:hAnsi="Times New Roman Bold"/>
              <w:shd w:fill="auto" w:val="clear"/>
            </w:rPr>
            <w:t>30.</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DATA PROTECTION</w:t>
            <w:tab/>
            <w:t>18</w:t>
          </w:r>
        </w:p>
        <w:p>
          <w:pPr>
            <w:pStyle w:val="TOC2"/>
            <w:rPr>
              <w:highlight w:val="none"/>
              <w:shd w:fill="auto" w:val="clear"/>
            </w:rPr>
          </w:pPr>
          <w:r>
            <w:rPr>
              <w:rFonts w:ascii="Times New Roman Bold" w:hAnsi="Times New Roman Bold"/>
              <w:shd w:fill="auto" w:val="clear"/>
            </w:rPr>
            <w:t>31.</w:t>
          </w:r>
          <w:r>
            <w:rPr>
              <w:rFonts w:eastAsia="" w:cs="" w:ascii="Calibri" w:hAnsi="Calibri" w:asciiTheme="minorHAnsi" w:cstheme="minorBidi" w:eastAsiaTheme="minorEastAsia" w:hAnsiTheme="minorHAnsi"/>
              <w:kern w:val="2"/>
              <w:szCs w:val="22"/>
              <w:shd w:fill="auto" w:val="clear"/>
              <w:lang w:val="en-IE" w:eastAsia="en-IE"/>
              <w14:ligatures w14:val="standardContextual"/>
            </w:rPr>
            <w:tab/>
          </w:r>
          <w:r>
            <w:rPr>
              <w:shd w:fill="auto" w:val="clear"/>
            </w:rPr>
            <w:t>EARLY DETECTION AND EXCLUSION SYSTEM</w:t>
            <w:tab/>
            <w:t>18</w:t>
          </w:r>
          <w:r>
            <w:rPr>
              <w:shd w:fill="auto" w:val="clear"/>
            </w:rPr>
            <w:fldChar w:fldCharType="end"/>
          </w:r>
        </w:p>
        <w:p>
          <w:pPr>
            <w:sectPr>
              <w:footerReference w:type="even" r:id="rId3"/>
              <w:footerReference w:type="default" r:id="rId4"/>
              <w:footerReference w:type="first" r:id="rId5"/>
              <w:type w:val="nextPage"/>
              <w:pgSz w:w="11906" w:h="16838"/>
              <w:pgMar w:left="1298" w:right="1298" w:gutter="0" w:header="0" w:top="993" w:footer="720" w:bottom="1077"/>
              <w:pgNumType w:start="1" w:fmt="decimal"/>
              <w:formProt w:val="false"/>
              <w:vAlign w:val="center"/>
              <w:textDirection w:val="lrTb"/>
              <w:docGrid w:type="default" w:linePitch="299" w:charSpace="0"/>
            </w:sectPr>
          </w:pPr>
        </w:p>
      </w:sdtContent>
    </w:sdt>
    <w:p>
      <w:pPr>
        <w:pStyle w:val="Heading1"/>
        <w:rPr>
          <w:highlight w:val="none"/>
          <w:shd w:fill="auto" w:val="clear"/>
        </w:rPr>
      </w:pPr>
      <w:bookmarkStart w:id="5" w:name="_Toc185006561"/>
      <w:r>
        <w:rPr>
          <w:shd w:fill="auto" w:val="clear"/>
        </w:rPr>
        <w:t>GENERAL PART</w:t>
      </w:r>
      <w:bookmarkEnd w:id="5"/>
    </w:p>
    <w:p>
      <w:pPr>
        <w:pStyle w:val="Heading2"/>
        <w:numPr>
          <w:ilvl w:val="1"/>
          <w:numId w:val="1"/>
        </w:numPr>
        <w:rPr>
          <w:highlight w:val="none"/>
          <w:shd w:fill="auto" w:val="clear"/>
        </w:rPr>
      </w:pPr>
      <w:bookmarkStart w:id="6" w:name="_Toc185006562"/>
      <w:r>
        <w:rPr>
          <w:shd w:fill="auto" w:val="clear"/>
        </w:rPr>
        <w:t>GENERAL INSTRUCTIONS</w:t>
      </w:r>
      <w:bookmarkEnd w:id="6"/>
    </w:p>
    <w:p>
      <w:pPr>
        <w:pStyle w:val="Heading3"/>
        <w:rPr>
          <w:highlight w:val="none"/>
          <w:shd w:fill="auto" w:val="clear"/>
        </w:rPr>
      </w:pPr>
      <w:r>
        <w:rPr>
          <w:shd w:fill="auto" w:val="clear"/>
        </w:rPr>
        <w:t>Tenderers must tender for the whole of the works required by the dossier. Tenders will not be accepted for incomplete lots.</w:t>
      </w:r>
    </w:p>
    <w:p>
      <w:pPr>
        <w:pStyle w:val="Heading3"/>
        <w:rPr>
          <w:highlight w:val="none"/>
          <w:shd w:fill="auto" w:val="clear"/>
        </w:rPr>
      </w:pPr>
      <w:r>
        <w:rPr>
          <w:shd w:fill="auto" w:val="clear"/>
        </w:rPr>
        <w:t>Timetable</w:t>
      </w:r>
    </w:p>
    <w:tbl>
      <w:tblPr>
        <w:tblW w:w="9214" w:type="dxa"/>
        <w:jc w:val="left"/>
        <w:tblInd w:w="517" w:type="dxa"/>
        <w:tblLayout w:type="fixed"/>
        <w:tblCellMar>
          <w:top w:w="0" w:type="dxa"/>
          <w:left w:w="108" w:type="dxa"/>
          <w:bottom w:w="0" w:type="dxa"/>
          <w:right w:w="108" w:type="dxa"/>
        </w:tblCellMar>
        <w:tblLook w:firstRow="0" w:noVBand="0" w:lastRow="0" w:firstColumn="0" w:lastColumn="0" w:noHBand="0" w:val="0000"/>
      </w:tblPr>
      <w:tblGrid>
        <w:gridCol w:w="3277"/>
        <w:gridCol w:w="3384"/>
        <w:gridCol w:w="2553"/>
      </w:tblGrid>
      <w:tr>
        <w:trPr/>
        <w:tc>
          <w:tcPr>
            <w:tcW w:w="3277" w:type="dxa"/>
            <w:tcBorders>
              <w:top w:val="single" w:sz="4" w:space="0" w:color="000000"/>
              <w:left w:val="single" w:sz="4" w:space="0" w:color="000000"/>
              <w:right w:val="single" w:sz="4" w:space="0" w:color="000000"/>
            </w:tcBorders>
            <w:vAlign w:val="center"/>
          </w:tcPr>
          <w:p>
            <w:pPr>
              <w:pStyle w:val="Normal"/>
              <w:spacing w:before="60" w:after="60"/>
              <w:ind w:left="34"/>
              <w:jc w:val="left"/>
              <w:rPr>
                <w:highlight w:val="none"/>
                <w:shd w:fill="auto" w:val="clear"/>
              </w:rPr>
            </w:pPr>
            <w:r>
              <w:rPr>
                <w:shd w:fill="auto" w:val="clear"/>
              </w:rPr>
            </w:r>
          </w:p>
        </w:tc>
        <w:tc>
          <w:tcPr>
            <w:tcW w:w="3384" w:type="dxa"/>
            <w:tcBorders>
              <w:top w:val="single" w:sz="4" w:space="0" w:color="000000"/>
              <w:left w:val="single" w:sz="4" w:space="0" w:color="000000"/>
              <w:bottom w:val="single" w:sz="4" w:space="0" w:color="000000"/>
              <w:right w:val="single" w:sz="4" w:space="0" w:color="000000"/>
            </w:tcBorders>
            <w:shd w:color="auto" w:fill="FFFFFF" w:val="pct10"/>
            <w:vAlign w:val="center"/>
          </w:tcPr>
          <w:p>
            <w:pPr>
              <w:pStyle w:val="Normal"/>
              <w:spacing w:before="60" w:after="60"/>
              <w:ind w:left="34"/>
              <w:jc w:val="center"/>
              <w:rPr>
                <w:highlight w:val="none"/>
                <w:shd w:fill="auto" w:val="clear"/>
              </w:rPr>
            </w:pPr>
            <w:r>
              <w:rPr>
                <w:b/>
                <w:sz w:val="18"/>
                <w:shd w:fill="auto" w:val="clear"/>
              </w:rPr>
              <w:t>DATE</w:t>
            </w:r>
          </w:p>
        </w:tc>
        <w:tc>
          <w:tcPr>
            <w:tcW w:w="2553" w:type="dxa"/>
            <w:tcBorders>
              <w:top w:val="single" w:sz="4" w:space="0" w:color="000000"/>
              <w:left w:val="single" w:sz="4" w:space="0" w:color="000000"/>
              <w:right w:val="single" w:sz="4" w:space="0" w:color="000000"/>
            </w:tcBorders>
            <w:shd w:color="auto" w:fill="FFFFFF" w:val="pct10"/>
            <w:vAlign w:val="center"/>
          </w:tcPr>
          <w:p>
            <w:pPr>
              <w:pStyle w:val="Normal"/>
              <w:spacing w:before="60" w:after="60"/>
              <w:ind w:left="34"/>
              <w:jc w:val="center"/>
              <w:rPr>
                <w:highlight w:val="none"/>
                <w:shd w:fill="auto" w:val="clear"/>
              </w:rPr>
            </w:pPr>
            <w:r>
              <w:rPr>
                <w:b/>
                <w:sz w:val="18"/>
                <w:shd w:fill="auto" w:val="clear"/>
              </w:rPr>
              <w:t>TIME</w:t>
            </w:r>
            <w:r>
              <w:rPr>
                <w:szCs w:val="22"/>
                <w:shd w:fill="auto" w:val="clear"/>
              </w:rPr>
              <w:t>*</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Clarification meeting (optional)</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60" w:after="60"/>
              <w:ind w:left="0"/>
              <w:jc w:val="left"/>
              <w:rPr>
                <w:highlight w:val="none"/>
                <w:shd w:fill="auto" w:val="clear"/>
              </w:rPr>
            </w:pPr>
            <w:r>
              <w:rPr>
                <w:shd w:fill="auto" w:val="clear"/>
              </w:rPr>
              <w:t>N/A</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rPr>
              <w:t>N/A</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Site visit (optional)</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60" w:after="60"/>
              <w:ind w:left="0"/>
              <w:jc w:val="left"/>
              <w:rPr>
                <w:highlight w:val="none"/>
                <w:shd w:fill="auto" w:val="clear"/>
              </w:rPr>
            </w:pPr>
            <w:r>
              <w:rPr>
                <w:shd w:fill="auto" w:val="clear"/>
              </w:rPr>
              <w:t>N/A</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rPr>
              <w:t>N/A</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Deadline for requesting any additional information from the contracting authority</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80" w:after="120"/>
              <w:ind w:left="0"/>
              <w:jc w:val="left"/>
              <w:rPr>
                <w:highlight w:val="none"/>
                <w:shd w:fill="auto" w:val="clear"/>
              </w:rPr>
            </w:pPr>
            <w:r>
              <w:rPr>
                <w:szCs w:val="22"/>
                <w:shd w:fill="auto" w:val="clear"/>
                <w:lang w:val="en-US"/>
              </w:rPr>
              <w:t>11.07.2025</w:t>
            </w:r>
          </w:p>
          <w:p>
            <w:pPr>
              <w:pStyle w:val="Normal"/>
              <w:spacing w:before="60" w:after="60"/>
              <w:ind w:left="34"/>
              <w:jc w:val="left"/>
              <w:rPr>
                <w:highlight w:val="none"/>
                <w:shd w:fill="auto" w:val="clear"/>
              </w:rPr>
            </w:pPr>
            <w:r>
              <w:rPr>
                <w:shd w:fill="auto" w:val="clear"/>
              </w:rPr>
              <w:t>(21 days before deadline for tenders)</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hanging="34" w:left="34"/>
              <w:jc w:val="left"/>
              <w:rPr>
                <w:highlight w:val="none"/>
                <w:shd w:fill="auto" w:val="clear"/>
              </w:rPr>
            </w:pPr>
            <w:r>
              <w:rPr>
                <w:shd w:fill="auto" w:val="clear"/>
              </w:rPr>
              <w:t>1</w:t>
            </w:r>
            <w:r>
              <w:rPr>
                <w:shd w:fill="auto" w:val="clear"/>
              </w:rPr>
              <w:t>5</w:t>
            </w:r>
            <w:r>
              <w:rPr>
                <w:shd w:fill="auto" w:val="clear"/>
              </w:rPr>
              <w:t>:30 h local time</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Last date on which additional information are issued by the contracting authority</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80" w:after="120"/>
              <w:ind w:left="0"/>
              <w:jc w:val="left"/>
              <w:rPr>
                <w:highlight w:val="none"/>
                <w:shd w:fill="auto" w:val="clear"/>
              </w:rPr>
            </w:pPr>
            <w:r>
              <w:rPr>
                <w:shd w:fill="auto" w:val="clear"/>
                <w:lang w:val="en-US"/>
              </w:rPr>
              <w:t>25.07.2025</w:t>
            </w:r>
          </w:p>
          <w:p>
            <w:pPr>
              <w:pStyle w:val="Normal"/>
              <w:spacing w:before="60" w:after="60"/>
              <w:ind w:left="34"/>
              <w:jc w:val="left"/>
              <w:rPr>
                <w:highlight w:val="none"/>
                <w:shd w:fill="auto" w:val="clear"/>
              </w:rPr>
            </w:pPr>
            <w:r>
              <w:rPr>
                <w:shd w:fill="auto" w:val="clear"/>
              </w:rPr>
              <w:t>(8 days before deadline for tenders</w:t>
            </w:r>
            <w:r>
              <w:rPr>
                <w:shd w:fill="auto" w:val="clear"/>
              </w:rPr>
              <w:t>)</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rPr>
              <w:t>-</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Deadline for submitting tenders</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80" w:after="120"/>
              <w:ind w:left="0"/>
              <w:rPr>
                <w:highlight w:val="none"/>
                <w:shd w:fill="auto" w:val="clear"/>
              </w:rPr>
            </w:pPr>
            <w:r>
              <w:rPr>
                <w:szCs w:val="22"/>
                <w:shd w:fill="auto" w:val="clear"/>
                <w:lang w:val="en-US"/>
              </w:rPr>
              <w:t>01.08.2025</w:t>
            </w:r>
          </w:p>
          <w:p>
            <w:pPr>
              <w:pStyle w:val="Normal"/>
              <w:spacing w:before="60" w:after="60"/>
              <w:ind w:left="34"/>
              <w:rPr>
                <w:highlight w:val="none"/>
                <w:shd w:fill="auto" w:val="clear"/>
              </w:rPr>
            </w:pPr>
            <w:r>
              <w:rPr>
                <w:shd w:fill="auto" w:val="clear"/>
              </w:rPr>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80" w:after="120"/>
              <w:ind w:left="0"/>
              <w:rPr>
                <w:highlight w:val="none"/>
                <w:shd w:fill="auto" w:val="clear"/>
              </w:rPr>
            </w:pPr>
            <w:r>
              <w:rPr>
                <w:szCs w:val="22"/>
                <w:shd w:fill="auto" w:val="clear"/>
                <w:lang w:val="en-IE"/>
              </w:rPr>
              <w:t>15:30 h local time</w:t>
            </w:r>
          </w:p>
          <w:p>
            <w:pPr>
              <w:pStyle w:val="Normal"/>
              <w:spacing w:before="60" w:after="60"/>
              <w:ind w:left="0"/>
              <w:rPr>
                <w:highlight w:val="none"/>
                <w:shd w:fill="auto" w:val="clear"/>
              </w:rPr>
            </w:pPr>
            <w:r>
              <w:rPr>
                <w:shd w:fill="auto" w:val="clear"/>
              </w:rPr>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Tender opening session</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rPr>
                <w:highlight w:val="none"/>
                <w:shd w:fill="auto" w:val="clear"/>
              </w:rPr>
            </w:pPr>
            <w:r>
              <w:rPr>
                <w:shd w:fill="auto" w:val="clear"/>
                <w:lang w:val="en-US"/>
              </w:rPr>
              <w:t>07.08.2025</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80" w:after="120"/>
              <w:ind w:left="0"/>
              <w:rPr>
                <w:highlight w:val="none"/>
                <w:shd w:fill="auto" w:val="clear"/>
              </w:rPr>
            </w:pPr>
            <w:r>
              <w:rPr>
                <w:shd w:fill="auto" w:val="clear"/>
              </w:rPr>
              <w:t>11:00 h local time</w:t>
            </w:r>
          </w:p>
          <w:p>
            <w:pPr>
              <w:pStyle w:val="Normal"/>
              <w:spacing w:before="60" w:after="60"/>
              <w:ind w:left="0"/>
              <w:rPr>
                <w:highlight w:val="none"/>
                <w:shd w:fill="auto" w:val="clear"/>
              </w:rPr>
            </w:pPr>
            <w:r>
              <w:rPr>
                <w:shd w:fill="auto" w:val="clear"/>
              </w:rPr>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Notification of award to the successful tenderer</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lang w:val="en-US"/>
              </w:rPr>
              <w:t>22.08.2025</w:t>
            </w:r>
            <w:r>
              <w:rPr>
                <w:shd w:fill="auto" w:val="clear"/>
              </w:rPr>
              <w:t xml:space="preserve"> </w:t>
            </w:r>
            <w:r>
              <w:rPr>
                <w:szCs w:val="22"/>
                <w:shd w:fill="auto" w:val="clear"/>
                <w:lang w:val="en-IE"/>
              </w:rPr>
              <w:t>**</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rPr>
              <w:t>-</w:t>
            </w:r>
          </w:p>
        </w:tc>
      </w:tr>
      <w:tr>
        <w:trPr/>
        <w:tc>
          <w:tcPr>
            <w:tcW w:w="3277" w:type="dxa"/>
            <w:tcBorders>
              <w:top w:val="single" w:sz="4" w:space="0" w:color="000000"/>
              <w:left w:val="single" w:sz="4" w:space="0" w:color="000000"/>
              <w:bottom w:val="single" w:sz="4" w:space="0" w:color="000000"/>
              <w:right w:val="single" w:sz="4" w:space="0" w:color="000000"/>
            </w:tcBorders>
            <w:shd w:color="auto" w:fill="FFFFFF" w:val="pct10"/>
          </w:tcPr>
          <w:p>
            <w:pPr>
              <w:pStyle w:val="Normal"/>
              <w:spacing w:before="60" w:after="60"/>
              <w:ind w:left="34"/>
              <w:jc w:val="left"/>
              <w:rPr>
                <w:highlight w:val="none"/>
                <w:shd w:fill="auto" w:val="clear"/>
              </w:rPr>
            </w:pPr>
            <w:r>
              <w:rPr>
                <w:b/>
                <w:shd w:fill="auto" w:val="clear"/>
              </w:rPr>
              <w:t>Signature of the contract</w:t>
            </w:r>
          </w:p>
        </w:tc>
        <w:tc>
          <w:tcPr>
            <w:tcW w:w="3384"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lang w:val="en-US"/>
              </w:rPr>
              <w:t>22.09.2025</w:t>
            </w:r>
            <w:r>
              <w:rPr>
                <w:shd w:fill="auto" w:val="clear"/>
              </w:rPr>
              <w:t xml:space="preserve"> </w:t>
            </w:r>
            <w:r>
              <w:rPr>
                <w:szCs w:val="22"/>
                <w:shd w:fill="auto" w:val="clear"/>
                <w:lang w:val="en-IE"/>
              </w:rPr>
              <w:t>**</w:t>
            </w:r>
          </w:p>
        </w:tc>
        <w:tc>
          <w:tcPr>
            <w:tcW w:w="2553" w:type="dxa"/>
            <w:tcBorders>
              <w:top w:val="single" w:sz="4" w:space="0" w:color="000000"/>
              <w:left w:val="single" w:sz="4" w:space="0" w:color="000000"/>
              <w:bottom w:val="single" w:sz="4" w:space="0" w:color="000000"/>
              <w:right w:val="single" w:sz="4" w:space="0" w:color="000000"/>
            </w:tcBorders>
          </w:tcPr>
          <w:p>
            <w:pPr>
              <w:pStyle w:val="Normal"/>
              <w:spacing w:before="60" w:after="60"/>
              <w:ind w:left="34"/>
              <w:jc w:val="left"/>
              <w:rPr>
                <w:highlight w:val="none"/>
                <w:shd w:fill="auto" w:val="clear"/>
              </w:rPr>
            </w:pPr>
            <w:r>
              <w:rPr>
                <w:shd w:fill="auto" w:val="clear"/>
              </w:rPr>
              <w:t>-</w:t>
            </w:r>
          </w:p>
        </w:tc>
      </w:tr>
    </w:tbl>
    <w:p>
      <w:pPr>
        <w:pStyle w:val="Normal"/>
        <w:spacing w:before="0" w:after="0"/>
        <w:rPr>
          <w:highlight w:val="none"/>
          <w:shd w:fill="auto" w:val="clear"/>
        </w:rPr>
      </w:pPr>
      <w:r>
        <w:rPr>
          <w:b/>
          <w:shd w:fill="auto" w:val="clear"/>
        </w:rPr>
        <w:t>*</w:t>
        <w:tab/>
        <w:t>The time zone of the country of the contracting authority.</w:t>
      </w:r>
    </w:p>
    <w:p>
      <w:pPr>
        <w:pStyle w:val="Normal"/>
        <w:rPr>
          <w:highlight w:val="none"/>
          <w:shd w:fill="auto" w:val="clear"/>
        </w:rPr>
      </w:pPr>
      <w:r>
        <w:rPr>
          <w:szCs w:val="22"/>
          <w:shd w:fill="auto" w:val="clear"/>
        </w:rPr>
        <w:t>**</w:t>
      </w:r>
      <w:r>
        <w:rPr>
          <w:shd w:fill="auto" w:val="clear"/>
          <w:vertAlign w:val="superscript"/>
        </w:rPr>
        <w:t xml:space="preserve"> </w:t>
      </w:r>
      <w:r>
        <w:rPr>
          <w:b/>
          <w:shd w:fill="auto" w:val="clear"/>
        </w:rPr>
        <w:t>Provisional data</w:t>
      </w:r>
    </w:p>
    <w:p>
      <w:pPr>
        <w:pStyle w:val="Heading2"/>
        <w:numPr>
          <w:ilvl w:val="1"/>
          <w:numId w:val="1"/>
        </w:numPr>
        <w:rPr>
          <w:highlight w:val="none"/>
          <w:shd w:fill="auto" w:val="clear"/>
        </w:rPr>
      </w:pPr>
      <w:bookmarkStart w:id="7" w:name="_Toc185006563"/>
      <w:r>
        <w:rPr>
          <w:shd w:fill="auto" w:val="clear"/>
        </w:rPr>
        <w:t>FINANCING</w:t>
      </w:r>
      <w:bookmarkEnd w:id="7"/>
    </w:p>
    <w:p>
      <w:pPr>
        <w:pStyle w:val="Normal"/>
        <w:spacing w:before="80" w:after="120"/>
        <w:rPr>
          <w:highlight w:val="none"/>
          <w:shd w:fill="auto" w:val="clear"/>
        </w:rPr>
      </w:pPr>
      <w:r>
        <w:rPr>
          <w:shd w:fill="auto" w:val="clear"/>
        </w:rPr>
        <w:t xml:space="preserve">The project is financed </w:t>
      </w:r>
      <w:bookmarkStart w:id="8" w:name="_Toc185006564"/>
      <w:r>
        <w:rPr>
          <w:iCs/>
          <w:szCs w:val="22"/>
          <w:shd w:fill="auto" w:val="clear"/>
          <w:lang w:val="en-IE"/>
        </w:rPr>
        <w:t>Interreg VI-A IPA Bulgaria - North Macedonia Programme 2021 – 2027 CCI 2021TC16IPCB006.</w:t>
      </w:r>
    </w:p>
    <w:p>
      <w:pPr>
        <w:pStyle w:val="Heading2"/>
        <w:numPr>
          <w:ilvl w:val="1"/>
          <w:numId w:val="1"/>
        </w:numPr>
        <w:rPr>
          <w:highlight w:val="none"/>
          <w:shd w:fill="auto" w:val="clear"/>
        </w:rPr>
      </w:pPr>
      <w:r>
        <w:rPr>
          <w:shd w:fill="auto" w:val="clear"/>
        </w:rPr>
        <w:t>PARTICIPATION</w:t>
      </w:r>
      <w:bookmarkEnd w:id="8"/>
    </w:p>
    <w:p>
      <w:pPr>
        <w:pStyle w:val="Heading3"/>
        <w:rPr>
          <w:highlight w:val="none"/>
          <w:shd w:fill="auto" w:val="clear"/>
        </w:rPr>
      </w:pPr>
      <w:r>
        <w:rPr>
          <w:shd w:fill="auto" w:val="clear"/>
        </w:rPr>
        <w:t xml:space="preserve">The eligibility requirements detailed in the Additional information about the contract notice (Annex a5f) apply to all members of a joint venture/consortium and all subcontractors, as well as to all entities upon whose capacity the tenderer relies for the selection criteria. Every tenderer, member of a joint venture/consortium, every capacity-providing entity, every subcontractor and every supplier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pPr>
        <w:pStyle w:val="Heading3"/>
        <w:rPr>
          <w:highlight w:val="none"/>
          <w:shd w:fill="auto" w:val="clear"/>
        </w:rPr>
      </w:pPr>
      <w:r>
        <w:rPr>
          <w:shd w:fill="auto" w:val="clear"/>
        </w:rPr>
        <w:t>Natural persons, companies or undertakings falling into a situation set out in Section 2.4. (EU restrictive measures</w:t>
      </w:r>
      <w:r>
        <w:rPr>
          <w:rStyle w:val="FootnoteReference"/>
          <w:shd w:fill="auto" w:val="clear"/>
        </w:rPr>
        <w:footnoteReference w:id="2"/>
      </w:r>
      <w:r>
        <w:rPr>
          <w:shd w:fill="auto" w:val="clear"/>
        </w:rPr>
        <w:t>), 2.4.2.1. (exclusion criteria) or 2.4.2.2. (rejection from a procedure) of the practical guide (PRAG),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Section 2.4.2.1. of the practical guide. The declarations must cover all the members of a joint venture/consortium and must also be submitted by any sub-contractor or capacity providing entity. Tenderers guilty of making false declarations may also incur financial penalties up to 10% of the total value of the contract and exclusion, in accordance with the Financial Regulation in force.</w:t>
      </w:r>
    </w:p>
    <w:p>
      <w:pPr>
        <w:pStyle w:val="Normal"/>
        <w:rPr>
          <w:highlight w:val="none"/>
          <w:shd w:fill="auto" w:val="clear"/>
        </w:rPr>
      </w:pPr>
      <w:r>
        <w:rPr>
          <w:shd w:fill="auto" w:val="clear"/>
        </w:rPr>
        <w:t>The exclusion situations referred to in subclause 3.2 apply to all members of a joint venture/consortium, all subcontractors and all suppliers to tenderers, as well as to all entities upon whose capacity the tenderer relies for the selection criteria.</w:t>
      </w:r>
    </w:p>
    <w:p>
      <w:pPr>
        <w:pStyle w:val="Heading3"/>
        <w:rPr>
          <w:highlight w:val="none"/>
          <w:shd w:fill="auto" w:val="clear"/>
        </w:rPr>
      </w:pPr>
      <w:r>
        <w:rPr>
          <w:shd w:fill="auto" w:val="clear"/>
        </w:rPr>
        <w:t>Subcontracting is allowed but the contractor will retain full liability towards the contracting authority for performance of the contract as a whole.</w:t>
      </w:r>
    </w:p>
    <w:p>
      <w:pPr>
        <w:pStyle w:val="Heading2"/>
        <w:numPr>
          <w:ilvl w:val="1"/>
          <w:numId w:val="1"/>
        </w:numPr>
        <w:rPr>
          <w:highlight w:val="none"/>
          <w:shd w:fill="auto" w:val="clear"/>
        </w:rPr>
      </w:pPr>
      <w:bookmarkStart w:id="9" w:name="_Toc185006565"/>
      <w:r>
        <w:rPr>
          <w:shd w:fill="auto" w:val="clear"/>
        </w:rPr>
        <w:t>ONLY ONE TENDER PER TENDERER</w:t>
      </w:r>
      <w:bookmarkEnd w:id="9"/>
    </w:p>
    <w:p>
      <w:pPr>
        <w:pStyle w:val="Normal"/>
        <w:rPr>
          <w:highlight w:val="none"/>
          <w:shd w:fill="auto" w:val="clear"/>
        </w:rPr>
      </w:pPr>
      <w:r>
        <w:rPr>
          <w:szCs w:val="22"/>
          <w:shd w:fill="auto" w:val="clear"/>
        </w:rP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pPr>
        <w:pStyle w:val="Heading2"/>
        <w:numPr>
          <w:ilvl w:val="1"/>
          <w:numId w:val="1"/>
        </w:numPr>
        <w:rPr>
          <w:highlight w:val="none"/>
          <w:shd w:fill="auto" w:val="clear"/>
        </w:rPr>
      </w:pPr>
      <w:bookmarkStart w:id="10" w:name="_Toc185006566"/>
      <w:r>
        <w:rPr>
          <w:shd w:fill="auto" w:val="clear"/>
        </w:rPr>
        <w:t>TENDER EXPENSES</w:t>
      </w:r>
      <w:bookmarkEnd w:id="10"/>
    </w:p>
    <w:p>
      <w:pPr>
        <w:pStyle w:val="Heading3"/>
        <w:rPr>
          <w:highlight w:val="none"/>
          <w:shd w:fill="auto" w:val="clear"/>
        </w:rPr>
      </w:pPr>
      <w:r>
        <w:rPr>
          <w:shd w:fill="auto" w:val="clear"/>
        </w:rPr>
        <w:t>The tenderer will bear all costs associated with preparing and submitting the tender. The contracting authority will not be responsible or liable for such costs, whatever the conduct or outcome of the procedure.</w:t>
      </w:r>
    </w:p>
    <w:p>
      <w:pPr>
        <w:pStyle w:val="Heading3"/>
        <w:rPr>
          <w:highlight w:val="none"/>
          <w:shd w:fill="auto" w:val="clear"/>
        </w:rPr>
      </w:pPr>
      <w:r>
        <w:rPr>
          <w:shd w:fill="auto" w:val="clear"/>
        </w:rPr>
        <w:t xml:space="preserve">The contracting authority will neither be responsible for, nor cover, any expenses or losses incurred by the tenderer through site visits and inspections or any other aspect of its tender. </w:t>
      </w:r>
    </w:p>
    <w:p>
      <w:pPr>
        <w:pStyle w:val="Heading2"/>
        <w:numPr>
          <w:ilvl w:val="1"/>
          <w:numId w:val="1"/>
        </w:numPr>
        <w:rPr>
          <w:highlight w:val="none"/>
          <w:shd w:fill="auto" w:val="clear"/>
        </w:rPr>
      </w:pPr>
      <w:bookmarkStart w:id="11" w:name="_Toc185006567"/>
      <w:r>
        <w:rPr>
          <w:shd w:fill="auto" w:val="clear"/>
        </w:rPr>
        <w:t>SITE VISIT AND CLARIFICATION MEETING</w:t>
      </w:r>
      <w:bookmarkEnd w:id="11"/>
    </w:p>
    <w:p>
      <w:pPr>
        <w:pStyle w:val="Heading3"/>
        <w:rPr>
          <w:highlight w:val="none"/>
          <w:shd w:fill="auto" w:val="clear"/>
        </w:rPr>
      </w:pPr>
      <w:r>
        <w:rPr>
          <w:shd w:fill="auto" w:val="clear"/>
        </w:rPr>
        <w:t xml:space="preserve">The tenderer is strongly advised to visit and inspect the site of the works and its surroundings for the purpose of assessing, at its own responsibility, expense and risk, the factors necessary for preparing its tender and signing the contract for the works (date, time and place, see the additional information about the contract notice.) </w:t>
      </w:r>
    </w:p>
    <w:p>
      <w:pPr>
        <w:pStyle w:val="Heading3"/>
        <w:rPr>
          <w:highlight w:val="none"/>
          <w:shd w:fill="auto" w:val="clear"/>
        </w:rPr>
      </w:pPr>
      <w:r>
        <w:rPr>
          <w:shd w:fill="auto" w:val="clear"/>
        </w:rPr>
        <w:t xml:space="preserve">A clarification meeting and/or a site visit will not be held by the contracting authority (date, time and place, see the additional information about the contract notice). </w:t>
      </w:r>
    </w:p>
    <w:p>
      <w:pPr>
        <w:pStyle w:val="Heading2"/>
        <w:numPr>
          <w:ilvl w:val="1"/>
          <w:numId w:val="1"/>
        </w:numPr>
        <w:rPr>
          <w:highlight w:val="none"/>
          <w:shd w:fill="auto" w:val="clear"/>
        </w:rPr>
      </w:pPr>
      <w:bookmarkStart w:id="12" w:name="_Toc185006568"/>
      <w:r>
        <w:rPr>
          <w:shd w:fill="auto" w:val="clear"/>
        </w:rPr>
        <w:t>CONTENT OF TENDER DOCUMENTS</w:t>
      </w:r>
      <w:bookmarkEnd w:id="12"/>
    </w:p>
    <w:p>
      <w:pPr>
        <w:pStyle w:val="Normal"/>
        <w:rPr>
          <w:highlight w:val="none"/>
          <w:shd w:fill="auto" w:val="clear"/>
        </w:rPr>
      </w:pPr>
      <w:r>
        <w:rPr>
          <w:shd w:fill="auto" w:val="clear"/>
        </w:rPr>
        <w:t>The set of tender documents comprises the documents specified in the invitation letter.</w:t>
      </w:r>
    </w:p>
    <w:p>
      <w:pPr>
        <w:pStyle w:val="Normal"/>
        <w:rPr>
          <w:highlight w:val="none"/>
          <w:shd w:fill="auto" w:val="clear"/>
        </w:rPr>
      </w:pPr>
      <w:r>
        <w:rPr>
          <w:shd w:fill="auto" w:val="clear"/>
        </w:rP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pPr>
        <w:pStyle w:val="Heading2"/>
        <w:numPr>
          <w:ilvl w:val="1"/>
          <w:numId w:val="1"/>
        </w:numPr>
        <w:rPr>
          <w:highlight w:val="none"/>
          <w:shd w:fill="auto" w:val="clear"/>
        </w:rPr>
      </w:pPr>
      <w:bookmarkStart w:id="13" w:name="_Toc185006569"/>
      <w:r>
        <w:rPr>
          <w:shd w:fill="auto" w:val="clear"/>
        </w:rPr>
        <w:t>EXPLANATIONS CONCERNING TENDER DOCUMENTS</w:t>
      </w:r>
      <w:bookmarkEnd w:id="13"/>
    </w:p>
    <w:p>
      <w:pPr>
        <w:pStyle w:val="Normal"/>
        <w:keepNext w:val="true"/>
        <w:spacing w:before="120" w:after="0"/>
        <w:rPr>
          <w:highlight w:val="none"/>
          <w:shd w:fill="auto" w:val="clear"/>
        </w:rPr>
      </w:pPr>
      <w:r>
        <w:rPr>
          <w:szCs w:val="22"/>
          <w:shd w:fill="auto" w:val="clear"/>
          <w:lang w:eastAsia="en-GB"/>
        </w:rPr>
        <w:t>Tenderers may submit questions in writing to the following address up to 21 days before the deadline for submission of tenders, specifying the publication reference and the contract title:</w:t>
      </w:r>
    </w:p>
    <w:p>
      <w:pPr>
        <w:pStyle w:val="Normal"/>
        <w:keepNext w:val="true"/>
        <w:spacing w:before="40" w:after="0"/>
        <w:ind w:firstLine="153" w:left="1287"/>
        <w:rPr>
          <w:highlight w:val="none"/>
          <w:shd w:fill="auto" w:val="clear"/>
        </w:rPr>
      </w:pPr>
      <w:r>
        <w:rPr>
          <w:shd w:fill="auto" w:val="clear"/>
        </w:rPr>
        <w:t xml:space="preserve">Marija Radeska Gjukikj - Project </w:t>
      </w:r>
      <w:r>
        <w:rPr>
          <w:shd w:fill="auto" w:val="clear"/>
          <w:lang w:val="en-US"/>
        </w:rPr>
        <w:t>assistant</w:t>
      </w:r>
      <w:r>
        <w:rPr>
          <w:shd w:fill="auto" w:val="clear"/>
        </w:rPr>
        <w:t xml:space="preserve"> </w:t>
        <w:tab/>
        <w:tab/>
        <w:tab/>
        <w:tab/>
      </w:r>
    </w:p>
    <w:p>
      <w:pPr>
        <w:pStyle w:val="Normal"/>
        <w:keepNext w:val="true"/>
        <w:spacing w:before="40" w:after="0"/>
        <w:ind w:firstLine="306" w:left="1134"/>
        <w:rPr>
          <w:highlight w:val="none"/>
          <w:shd w:fill="auto" w:val="clear"/>
        </w:rPr>
      </w:pPr>
      <w:r>
        <w:rPr>
          <w:shd w:fill="auto" w:val="clear"/>
        </w:rPr>
        <w:t>Adress: St Joachim Osogovski street 175, 1330 Kriva Palanka,</w:t>
      </w:r>
    </w:p>
    <w:p>
      <w:pPr>
        <w:pStyle w:val="Normal"/>
        <w:keepNext w:val="true"/>
        <w:spacing w:before="40" w:after="0"/>
        <w:ind w:firstLine="459" w:left="981"/>
        <w:rPr/>
      </w:pPr>
      <w:r>
        <w:rPr>
          <w:shd w:fill="auto" w:val="clear"/>
        </w:rPr>
        <w:t xml:space="preserve">E-mail: </w:t>
      </w:r>
      <w:hyperlink r:id="rId6">
        <w:r>
          <w:rPr>
            <w:rStyle w:val="Hyperlink"/>
            <w:shd w:fill="auto" w:val="clear"/>
          </w:rPr>
          <w:t>adrenalinskipark.@yahoo.com</w:t>
        </w:r>
      </w:hyperlink>
      <w:r>
        <w:rPr>
          <w:shd w:fill="auto" w:val="clear"/>
        </w:rPr>
        <w:t xml:space="preserve"> </w:t>
      </w:r>
    </w:p>
    <w:p>
      <w:pPr>
        <w:pStyle w:val="Normal"/>
        <w:rPr>
          <w:highlight w:val="none"/>
          <w:shd w:fill="auto" w:val="clear"/>
        </w:rPr>
      </w:pPr>
      <w:r>
        <w:rPr>
          <w:shd w:fill="auto" w:val="clear"/>
        </w:rPr>
        <w:t xml:space="preserve">The contracting authority must reply to all tenderers’ questions at least 8 days before the deadline for receipt of tenders. </w:t>
      </w:r>
    </w:p>
    <w:p>
      <w:pPr>
        <w:pStyle w:val="Heading3"/>
        <w:rPr>
          <w:highlight w:val="none"/>
          <w:shd w:fill="auto" w:val="clear"/>
        </w:rPr>
      </w:pPr>
      <w:r>
        <w:rPr>
          <w:shd w:fill="auto" w:val="clear"/>
        </w:rPr>
        <w:t xml:space="preserve">The questions and answers will be published on the municipal web site and Interreg </w:t>
      </w:r>
      <w:r>
        <w:rPr>
          <w:iCs/>
          <w:shd w:fill="auto" w:val="clear"/>
          <w:lang w:val="en-IE"/>
        </w:rPr>
        <w:t>VI-A IPA Bulgaria - North Macedonia Programme</w:t>
      </w:r>
      <w:r>
        <w:rPr>
          <w:shd w:fill="auto" w:val="clear"/>
        </w:rPr>
        <w:t xml:space="preserve"> web portal (programmes web portal). The website will be updated regularly and it is the tenderer’s responsibility to check for updates and modifications during the submission period.</w:t>
      </w:r>
    </w:p>
    <w:p>
      <w:pPr>
        <w:pStyle w:val="Heading2"/>
        <w:numPr>
          <w:ilvl w:val="1"/>
          <w:numId w:val="1"/>
        </w:numPr>
        <w:rPr>
          <w:highlight w:val="none"/>
          <w:shd w:fill="auto" w:val="clear"/>
        </w:rPr>
      </w:pPr>
      <w:bookmarkStart w:id="14" w:name="_Toc185006570"/>
      <w:r>
        <w:rPr>
          <w:shd w:fill="auto" w:val="clear"/>
        </w:rPr>
        <w:t>MODIFICATIONS OF TENDER DOCUMENTS</w:t>
      </w:r>
      <w:bookmarkEnd w:id="14"/>
    </w:p>
    <w:p>
      <w:pPr>
        <w:pStyle w:val="Heading3"/>
        <w:rPr>
          <w:highlight w:val="none"/>
          <w:shd w:fill="auto" w:val="clear"/>
        </w:rPr>
      </w:pPr>
      <w:r>
        <w:rPr>
          <w:shd w:fill="auto" w:val="clear"/>
        </w:rPr>
        <w:t xml:space="preserve">The contracting authority may amend the tender documents by publishing modifications up to 8 days before the deadline for submitting tenders. </w:t>
      </w:r>
    </w:p>
    <w:p>
      <w:pPr>
        <w:pStyle w:val="Heading3"/>
        <w:rPr>
          <w:highlight w:val="none"/>
          <w:shd w:fill="auto" w:val="clear"/>
        </w:rPr>
      </w:pPr>
      <w:r>
        <w:rPr>
          <w:shd w:fill="auto" w:val="clear"/>
        </w:rPr>
        <w:t xml:space="preserve">Each modification published will constitute a part of the tender documents and will be published on the municipal web site and Interreg </w:t>
      </w:r>
      <w:r>
        <w:rPr>
          <w:iCs/>
          <w:shd w:fill="auto" w:val="clear"/>
          <w:lang w:val="en-IE"/>
        </w:rPr>
        <w:t>VI-A IPA Bulgaria - North Macedonia Programme</w:t>
      </w:r>
      <w:r>
        <w:rPr>
          <w:shd w:fill="auto" w:val="clear"/>
        </w:rPr>
        <w:t xml:space="preserve"> web portal (programmes web portal).</w:t>
      </w:r>
    </w:p>
    <w:p>
      <w:pPr>
        <w:pStyle w:val="Heading3"/>
        <w:rPr>
          <w:highlight w:val="none"/>
          <w:shd w:fill="auto" w:val="clear"/>
        </w:rPr>
      </w:pPr>
      <w:r>
        <w:rPr>
          <w:shd w:fill="auto" w:val="clear"/>
        </w:rPr>
        <w:t>The contracting authority may, as necessary and in accordance with Clause 18, extend the deadline for submitting tenders to give tenderers sufficient time to take modifications into account when preparing their tenders.</w:t>
      </w:r>
    </w:p>
    <w:p>
      <w:pPr>
        <w:pStyle w:val="Heading1"/>
        <w:rPr>
          <w:highlight w:val="none"/>
          <w:shd w:fill="auto" w:val="clear"/>
        </w:rPr>
      </w:pPr>
      <w:bookmarkStart w:id="15" w:name="_Toc185006571"/>
      <w:r>
        <w:rPr>
          <w:shd w:fill="auto" w:val="clear"/>
        </w:rPr>
        <w:t>TENDER PREPARATION</w:t>
      </w:r>
      <w:bookmarkEnd w:id="15"/>
    </w:p>
    <w:p>
      <w:pPr>
        <w:pStyle w:val="Heading2"/>
        <w:numPr>
          <w:ilvl w:val="1"/>
          <w:numId w:val="1"/>
        </w:numPr>
        <w:rPr>
          <w:highlight w:val="none"/>
          <w:shd w:fill="auto" w:val="clear"/>
        </w:rPr>
      </w:pPr>
      <w:bookmarkStart w:id="16" w:name="_Toc185006572"/>
      <w:r>
        <w:rPr>
          <w:shd w:fill="auto" w:val="clear"/>
        </w:rPr>
        <w:t>LANGUAGE OF TENDERS</w:t>
      </w:r>
      <w:bookmarkEnd w:id="16"/>
    </w:p>
    <w:p>
      <w:pPr>
        <w:pStyle w:val="Heading3"/>
        <w:rPr>
          <w:highlight w:val="none"/>
          <w:shd w:fill="auto" w:val="clear"/>
        </w:rPr>
      </w:pPr>
      <w:r>
        <w:rPr>
          <w:shd w:fill="auto" w:val="clear"/>
        </w:rPr>
        <w:t>The tender and all correspondence and documents related to the tender exchanged by the tenderer and the contracting authority must be written in the language of the procedure, which is English. All correspondence relating to payments, including invoices and interim and final payment certificates, must also be sent to the contracting authority in English.</w:t>
      </w:r>
    </w:p>
    <w:p>
      <w:pPr>
        <w:pStyle w:val="Heading3"/>
        <w:rPr>
          <w:highlight w:val="none"/>
          <w:shd w:fill="auto" w:val="clear"/>
        </w:rPr>
      </w:pPr>
      <w:r>
        <w:rPr>
          <w:shd w:fill="auto" w:val="clear"/>
        </w:rPr>
        <w:t xml:space="preserve">If supporting documents are not written in one of the official languages of the European Union, a translation into the language of the call for tender must be attached. </w:t>
      </w:r>
      <w:r>
        <w:rPr>
          <w:b/>
          <w:bCs/>
          <w:shd w:fill="auto" w:val="clear"/>
        </w:rPr>
        <w:t>Where the documents are in an official language of the European Union other than English, it is strongly recommended to provide a translation into the language of the call for tenders, in order to facilitate the evaluation of the documents</w:t>
      </w:r>
      <w:r>
        <w:rPr>
          <w:shd w:fill="auto" w:val="clear"/>
        </w:rPr>
        <w:t>.</w:t>
      </w:r>
    </w:p>
    <w:p>
      <w:pPr>
        <w:pStyle w:val="Heading2"/>
        <w:numPr>
          <w:ilvl w:val="1"/>
          <w:numId w:val="1"/>
        </w:numPr>
        <w:rPr>
          <w:highlight w:val="none"/>
          <w:shd w:fill="auto" w:val="clear"/>
        </w:rPr>
      </w:pPr>
      <w:r>
        <w:rPr>
          <w:shd w:fill="auto" w:val="clear"/>
        </w:rPr>
        <w:t xml:space="preserve"> </w:t>
      </w:r>
      <w:bookmarkStart w:id="17" w:name="_Toc185006573"/>
      <w:r>
        <w:rPr>
          <w:shd w:fill="auto" w:val="clear"/>
        </w:rPr>
        <w:t>CONTENT AND PRESENTATION OF TENDER</w:t>
      </w:r>
      <w:bookmarkEnd w:id="17"/>
    </w:p>
    <w:p>
      <w:pPr>
        <w:pStyle w:val="Heading3"/>
        <w:rPr>
          <w:highlight w:val="none"/>
          <w:shd w:fill="auto" w:val="clear"/>
        </w:rPr>
      </w:pPr>
      <w:r>
        <w:rPr>
          <w:shd w:fill="auto" w:val="clear"/>
        </w:rPr>
        <w:t>Tenders must satisfy the following conditions:</w:t>
      </w:r>
    </w:p>
    <w:p>
      <w:pPr>
        <w:pStyle w:val="Heading4"/>
        <w:rPr>
          <w:highlight w:val="none"/>
          <w:shd w:fill="auto" w:val="clear"/>
        </w:rPr>
      </w:pPr>
      <w:r>
        <w:rPr>
          <w:shd w:fill="auto" w:val="clear"/>
        </w:rPr>
        <w:t>Tenders must comprise the documents and information in Clause 12 below.</w:t>
      </w:r>
    </w:p>
    <w:p>
      <w:pPr>
        <w:pStyle w:val="Heading4"/>
        <w:rPr>
          <w:highlight w:val="none"/>
          <w:shd w:fill="auto" w:val="clear"/>
        </w:rPr>
      </w:pPr>
      <w:r>
        <w:rPr>
          <w:shd w:fill="auto" w:val="clear"/>
        </w:rPr>
        <w:t>The tender must be signed on behalf of the tenderer/joint venture/consortium by a person or persons duly authorised to do so, empowered by power of attorney submitted in accordance with Form 4.3 in Volume 1, Section 4 of the tender dossier.</w:t>
      </w:r>
    </w:p>
    <w:p>
      <w:pPr>
        <w:pStyle w:val="Heading4"/>
        <w:rPr>
          <w:highlight w:val="none"/>
          <w:shd w:fill="auto" w:val="clear"/>
        </w:rPr>
      </w:pPr>
      <w:r>
        <w:rPr>
          <w:shd w:fill="auto" w:val="clear"/>
        </w:rPr>
        <w:t>The relevant pages of the documents specified in Clause 12 must be signed as indicated.</w:t>
      </w:r>
    </w:p>
    <w:p>
      <w:pPr>
        <w:pStyle w:val="Heading4"/>
        <w:rPr>
          <w:highlight w:val="none"/>
          <w:shd w:fill="auto" w:val="clear"/>
        </w:rPr>
      </w:pPr>
      <w:r>
        <w:rPr>
          <w:shd w:fill="auto" w:val="clear"/>
        </w:rP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pPr>
        <w:pStyle w:val="Heading3"/>
        <w:rPr>
          <w:highlight w:val="none"/>
          <w:shd w:fill="auto" w:val="clear"/>
        </w:rPr>
      </w:pPr>
      <w:r>
        <w:rPr>
          <w:shd w:fill="auto" w:val="clear"/>
        </w:rPr>
        <w:t>The works are not divided into lots. Tenders must be for all the quantities indicated.</w:t>
      </w:r>
    </w:p>
    <w:p>
      <w:pPr>
        <w:pStyle w:val="Heading2"/>
        <w:numPr>
          <w:ilvl w:val="1"/>
          <w:numId w:val="1"/>
        </w:numPr>
        <w:rPr>
          <w:highlight w:val="none"/>
          <w:shd w:fill="auto" w:val="clear"/>
        </w:rPr>
      </w:pPr>
      <w:bookmarkStart w:id="18" w:name="_Toc185006574"/>
      <w:r>
        <w:rPr>
          <w:shd w:fill="auto" w:val="clear"/>
        </w:rPr>
        <w:t>INFORMATION/DOCUMENTS TO BE SUPPLIED BY THE TENDERER</w:t>
      </w:r>
      <w:bookmarkEnd w:id="18"/>
    </w:p>
    <w:p>
      <w:pPr>
        <w:pStyle w:val="Normal"/>
        <w:spacing w:before="120" w:after="120"/>
        <w:rPr>
          <w:highlight w:val="none"/>
          <w:shd w:fill="auto" w:val="clear"/>
        </w:rPr>
      </w:pPr>
      <w:r>
        <w:rPr>
          <w:shd w:fill="auto" w:val="clear"/>
        </w:rPr>
        <w:t>All tenders must comprise the following information and duly completed documents:</w:t>
      </w:r>
    </w:p>
    <w:p>
      <w:pPr>
        <w:pStyle w:val="Heading4"/>
        <w:rPr>
          <w:highlight w:val="none"/>
          <w:shd w:fill="auto" w:val="clear"/>
        </w:rPr>
      </w:pPr>
      <w:r>
        <w:rPr>
          <w:shd w:fill="auto" w:val="clear"/>
        </w:rPr>
        <w:t>Tender form, together with a signed Annex 1 "Declaration on honour on exclusion criteria and selection criteria"</w:t>
      </w:r>
      <w:r>
        <w:rPr>
          <w:rStyle w:val="FootnoteReference"/>
          <w:shd w:fill="auto" w:val="clear"/>
          <w:vertAlign w:val="superscript"/>
        </w:rPr>
        <w:footnoteReference w:id="3"/>
      </w:r>
      <w:r>
        <w:rPr>
          <w:shd w:fill="auto" w:val="clear"/>
        </w:rPr>
        <w:t xml:space="preserve"> </w:t>
      </w:r>
    </w:p>
    <w:p>
      <w:pPr>
        <w:pStyle w:val="Normal"/>
        <w:spacing w:before="120" w:after="120"/>
        <w:ind w:left="851"/>
        <w:rPr>
          <w:highlight w:val="none"/>
          <w:shd w:fill="auto" w:val="clear"/>
        </w:rPr>
      </w:pPr>
      <w:r>
        <w:rPr>
          <w:shd w:fill="auto" w:val="clear"/>
        </w:rPr>
        <w:t xml:space="preserve"> </w:t>
      </w:r>
      <w:r>
        <w:rPr>
          <w:shd w:fill="auto" w:val="clear"/>
        </w:rPr>
        <w:t>Signed originals of the Declaration on honour shall be submitted.</w:t>
        <w:tab/>
      </w:r>
    </w:p>
    <w:p>
      <w:pPr>
        <w:pStyle w:val="Heading4"/>
        <w:rPr>
          <w:highlight w:val="none"/>
          <w:shd w:fill="auto" w:val="clear"/>
        </w:rPr>
      </w:pPr>
      <w:r>
        <w:rPr>
          <w:shd w:fill="auto" w:val="clear"/>
        </w:rPr>
        <w:t>Documentation as required in the questionnaire in Volume 1, Section 4, including all forms attached;</w:t>
      </w:r>
    </w:p>
    <w:p>
      <w:pPr>
        <w:pStyle w:val="Heading4"/>
        <w:rPr>
          <w:highlight w:val="none"/>
          <w:shd w:fill="auto" w:val="clear"/>
        </w:rPr>
      </w:pPr>
      <w:r>
        <w:rPr>
          <w:shd w:fill="auto" w:val="clear"/>
        </w:rPr>
        <w:t>The forms provided in Volume 4:</w:t>
      </w:r>
    </w:p>
    <w:p>
      <w:pPr>
        <w:pStyle w:val="Normal"/>
        <w:ind w:left="1134"/>
        <w:rPr>
          <w:highlight w:val="none"/>
          <w:shd w:fill="auto" w:val="clear"/>
        </w:rPr>
      </w:pPr>
      <w:r>
        <w:rPr>
          <w:szCs w:val="22"/>
          <w:shd w:fill="auto" w:val="clear"/>
        </w:rPr>
        <w:t>Volume 4.2.3 — Breakdown of the lump-sum price (presented in excel format);</w:t>
      </w:r>
    </w:p>
    <w:p>
      <w:pPr>
        <w:pStyle w:val="Normal"/>
        <w:ind w:left="851"/>
        <w:rPr>
          <w:highlight w:val="none"/>
          <w:shd w:fill="auto" w:val="clear"/>
        </w:rPr>
      </w:pPr>
      <w:r>
        <w:rPr>
          <w:shd w:fill="auto" w:val="clear"/>
        </w:rPr>
        <w:t>The breakdown of the lump-sum price and the detailed breakdown of prices do not derogate in any way to the clause stating that, in a lump-sum contract, the total contract price remains fixed irrespective of the quantity of work actually carried out.</w:t>
      </w:r>
    </w:p>
    <w:p>
      <w:pPr>
        <w:pStyle w:val="Heading5"/>
        <w:rPr>
          <w:highlight w:val="none"/>
          <w:shd w:fill="auto" w:val="clear"/>
        </w:rPr>
      </w:pPr>
      <w:r>
        <w:rPr>
          <w:shd w:fill="auto" w:val="clear"/>
        </w:rPr>
        <w:t>The prices in Volume 4 are deemed to have been set on the basis of the conditions in force 30 days prior to the deadline for submitting tenders.</w:t>
      </w:r>
    </w:p>
    <w:p>
      <w:pPr>
        <w:pStyle w:val="Normal"/>
        <w:spacing w:before="120" w:after="120"/>
        <w:ind w:left="1009"/>
        <w:rPr>
          <w:highlight w:val="none"/>
          <w:shd w:fill="auto" w:val="clear"/>
        </w:rPr>
      </w:pPr>
      <w:r>
        <w:rPr>
          <w:shd w:fill="auto" w:val="clear"/>
        </w:rPr>
        <w:t xml:space="preserve">The detailed breakdown of prices must be used when required for any purpose under the contract, notably to provide the coefficients for applying the price revision formula referred to in Article 48.2 of the special conditions. The tenderer must provide clear arithmetical calculations for the proposed coefficients. </w:t>
      </w:r>
    </w:p>
    <w:p>
      <w:pPr>
        <w:pStyle w:val="Heading4"/>
        <w:rPr>
          <w:highlight w:val="none"/>
          <w:shd w:fill="auto" w:val="clear"/>
        </w:rPr>
      </w:pPr>
      <w:r>
        <w:rPr>
          <w:shd w:fill="auto" w:val="clear"/>
        </w:rPr>
        <w:t>Cash flow statements as part of the financial statement form (Form 4.4).</w:t>
      </w:r>
    </w:p>
    <w:p>
      <w:pPr>
        <w:pStyle w:val="Heading4"/>
        <w:rPr>
          <w:highlight w:val="none"/>
          <w:shd w:fill="auto" w:val="clear"/>
        </w:rPr>
      </w:pPr>
      <w:r>
        <w:rPr>
          <w:shd w:fill="auto" w:val="clear"/>
        </w:rPr>
        <w:t>Copies of the most recent documents showing the organisation chart, legal status and place of registration of the tenderer's headquarters, a power of attorney empowering the person signing the tender and all related documentation. These documents must follow the forms in Volume 1, Section 4 of the tender dossier:</w:t>
      </w:r>
    </w:p>
    <w:p>
      <w:pPr>
        <w:pStyle w:val="Normal"/>
        <w:numPr>
          <w:ilvl w:val="0"/>
          <w:numId w:val="5"/>
        </w:numPr>
        <w:ind w:hanging="360" w:left="1418"/>
        <w:rPr>
          <w:highlight w:val="none"/>
          <w:shd w:fill="auto" w:val="clear"/>
        </w:rPr>
      </w:pPr>
      <w:r>
        <w:rPr>
          <w:shd w:fill="auto" w:val="clear"/>
        </w:rPr>
        <w:t>general information about the tenderer (Form 4.1)</w:t>
      </w:r>
    </w:p>
    <w:p>
      <w:pPr>
        <w:pStyle w:val="Normal"/>
        <w:numPr>
          <w:ilvl w:val="0"/>
          <w:numId w:val="5"/>
        </w:numPr>
        <w:ind w:hanging="360" w:left="1418"/>
        <w:rPr>
          <w:highlight w:val="none"/>
          <w:shd w:fill="auto" w:val="clear"/>
        </w:rPr>
      </w:pPr>
      <w:r>
        <w:rPr>
          <w:shd w:fill="auto" w:val="clear"/>
        </w:rPr>
        <w:t>organisation chart (Form 4.2)</w:t>
      </w:r>
    </w:p>
    <w:p>
      <w:pPr>
        <w:pStyle w:val="Normal"/>
        <w:numPr>
          <w:ilvl w:val="0"/>
          <w:numId w:val="5"/>
        </w:numPr>
        <w:ind w:hanging="360" w:left="1418"/>
        <w:rPr>
          <w:highlight w:val="none"/>
          <w:shd w:fill="auto" w:val="clear"/>
        </w:rPr>
      </w:pPr>
      <w:r>
        <w:rPr>
          <w:shd w:fill="auto" w:val="clear"/>
        </w:rPr>
        <w:t>power of attorney (Form 4.3).</w:t>
      </w:r>
    </w:p>
    <w:p>
      <w:pPr>
        <w:pStyle w:val="Heading4"/>
        <w:rPr>
          <w:highlight w:val="none"/>
          <w:shd w:fill="auto" w:val="clear"/>
        </w:rPr>
      </w:pPr>
      <w:r>
        <w:rPr>
          <w:shd w:fill="auto" w:val="clear"/>
        </w:rPr>
        <w:t>Evidence showing that the liquid assets and access to credit facilities are adequate for this contract, confirmed by a financial statement for the last three years verified by a chartered accountant. This evidence must be provided using Form 4.4, Financial statement, in Volume 1, Section 4 of the tender documents.</w:t>
      </w:r>
    </w:p>
    <w:p>
      <w:pPr>
        <w:pStyle w:val="Heading4"/>
        <w:rPr>
          <w:highlight w:val="none"/>
          <w:shd w:fill="auto" w:val="clear"/>
        </w:rPr>
      </w:pPr>
      <w:r>
        <w:rPr>
          <w:shd w:fill="auto" w:val="clear"/>
        </w:rPr>
        <w:t>Financial projections for the two years ahead. This information must follow Form 4.4, Financial statement, provided in accordance with Volume 1, Section 4 of the tender documents.</w:t>
      </w:r>
    </w:p>
    <w:p>
      <w:pPr>
        <w:pStyle w:val="Heading4"/>
        <w:rPr>
          <w:highlight w:val="none"/>
          <w:shd w:fill="auto" w:val="clear"/>
        </w:rPr>
      </w:pPr>
      <w:r>
        <w:rPr>
          <w:shd w:fill="auto" w:val="clear"/>
        </w:rPr>
        <w:t>Identification form (Form 4.5, Volume 1).</w:t>
      </w:r>
    </w:p>
    <w:p>
      <w:pPr>
        <w:pStyle w:val="Heading4"/>
        <w:rPr>
          <w:highlight w:val="none"/>
          <w:shd w:fill="auto" w:val="clear"/>
        </w:rPr>
      </w:pPr>
      <w:r>
        <w:rPr>
          <w:shd w:fill="auto" w:val="clear"/>
        </w:rPr>
        <w:t>Information about the tenderer’s technical qualifications. This information must follow the forms in Volume 1, Section 4 of the tender documents and include:</w:t>
      </w:r>
    </w:p>
    <w:p>
      <w:pPr>
        <w:pStyle w:val="Normal"/>
        <w:numPr>
          <w:ilvl w:val="0"/>
          <w:numId w:val="5"/>
        </w:numPr>
        <w:ind w:hanging="360" w:left="1276"/>
        <w:rPr>
          <w:highlight w:val="none"/>
          <w:shd w:fill="auto" w:val="clear"/>
        </w:rPr>
      </w:pPr>
      <w:r>
        <w:rPr>
          <w:shd w:fill="auto" w:val="clear"/>
        </w:rPr>
        <w:t>a presentation of the tenderer’s organisation, including the total number of personnel employed (Form 4.6.1.1),</w:t>
      </w:r>
    </w:p>
    <w:p>
      <w:pPr>
        <w:pStyle w:val="Normal"/>
        <w:numPr>
          <w:ilvl w:val="0"/>
          <w:numId w:val="5"/>
        </w:numPr>
        <w:ind w:hanging="360" w:left="1276"/>
        <w:rPr>
          <w:highlight w:val="none"/>
          <w:shd w:fill="auto" w:val="clear"/>
        </w:rPr>
      </w:pPr>
      <w:r>
        <w:rPr>
          <w:shd w:fill="auto" w:val="clear"/>
        </w:rPr>
        <w:t>a list of the personnel proposed for execution of the contract, with the CVs of key personnel (Forms 4.6.1.2 and 4.6.1.3),</w:t>
      </w:r>
    </w:p>
    <w:p>
      <w:pPr>
        <w:pStyle w:val="Normal"/>
        <w:numPr>
          <w:ilvl w:val="0"/>
          <w:numId w:val="5"/>
        </w:numPr>
        <w:ind w:hanging="360" w:left="1276"/>
        <w:rPr>
          <w:highlight w:val="none"/>
          <w:shd w:fill="auto" w:val="clear"/>
        </w:rPr>
      </w:pPr>
      <w:r>
        <w:rPr>
          <w:shd w:fill="auto" w:val="clear"/>
        </w:rPr>
        <w:t>a list of plant for execution of the contract. The descriptions must demonstrate the tenderer’s ability to complete the works and should include</w:t>
      </w:r>
      <w:r>
        <w:rPr>
          <w:b/>
          <w:bCs/>
          <w:iCs/>
          <w:color w:val="1F497D"/>
          <w:shd w:fill="auto" w:val="clear"/>
        </w:rPr>
        <w:t xml:space="preserve"> </w:t>
      </w:r>
      <w:r>
        <w:rPr>
          <w:bCs/>
          <w:iCs/>
          <w:shd w:fill="auto" w:val="clear"/>
        </w:rPr>
        <w:t>amongst others, the following elements</w:t>
      </w:r>
      <w:r>
        <w:rPr>
          <w:shd w:fill="auto" w:val="clear"/>
        </w:rPr>
        <w:t>:</w:t>
      </w:r>
    </w:p>
    <w:p>
      <w:pPr>
        <w:pStyle w:val="Normal"/>
        <w:numPr>
          <w:ilvl w:val="0"/>
          <w:numId w:val="6"/>
        </w:numPr>
        <w:spacing w:before="0" w:after="60"/>
        <w:ind w:hanging="357" w:left="1985"/>
        <w:rPr>
          <w:highlight w:val="none"/>
          <w:shd w:fill="auto" w:val="clear"/>
        </w:rPr>
      </w:pPr>
      <w:r>
        <w:rPr>
          <w:shd w:fill="auto" w:val="clear"/>
        </w:rPr>
        <w:t>Tipper truck – at least 1 (minimum load 10 tons);</w:t>
      </w:r>
    </w:p>
    <w:p>
      <w:pPr>
        <w:pStyle w:val="Normal"/>
        <w:numPr>
          <w:ilvl w:val="0"/>
          <w:numId w:val="6"/>
        </w:numPr>
        <w:spacing w:before="0" w:after="60"/>
        <w:ind w:hanging="357" w:left="1985"/>
        <w:rPr>
          <w:highlight w:val="none"/>
          <w:shd w:fill="auto" w:val="clear"/>
        </w:rPr>
      </w:pPr>
      <w:r>
        <w:rPr>
          <w:shd w:fill="auto" w:val="clear"/>
        </w:rPr>
        <w:t>Truck – at least 1 (minimum load 12 tons);</w:t>
      </w:r>
    </w:p>
    <w:p>
      <w:pPr>
        <w:pStyle w:val="Normal"/>
        <w:numPr>
          <w:ilvl w:val="0"/>
          <w:numId w:val="6"/>
        </w:numPr>
        <w:spacing w:before="0" w:after="60"/>
        <w:ind w:hanging="357" w:left="1985"/>
        <w:rPr>
          <w:highlight w:val="none"/>
          <w:shd w:fill="auto" w:val="clear"/>
        </w:rPr>
      </w:pPr>
      <w:r>
        <w:rPr>
          <w:shd w:fill="auto" w:val="clear"/>
        </w:rPr>
        <w:t>Bulldozer – 1 (minimum weight 15 tons);</w:t>
      </w:r>
    </w:p>
    <w:p>
      <w:pPr>
        <w:pStyle w:val="Normal"/>
        <w:numPr>
          <w:ilvl w:val="0"/>
          <w:numId w:val="6"/>
        </w:numPr>
        <w:spacing w:before="0" w:after="60"/>
        <w:ind w:hanging="357" w:left="1985"/>
        <w:rPr>
          <w:highlight w:val="none"/>
          <w:shd w:fill="auto" w:val="clear"/>
        </w:rPr>
      </w:pPr>
      <w:r>
        <w:rPr>
          <w:shd w:fill="auto" w:val="clear"/>
        </w:rPr>
        <w:t>Excavator – 1 (minimum weight 10 tons);</w:t>
      </w:r>
    </w:p>
    <w:p>
      <w:pPr>
        <w:pStyle w:val="Normal"/>
        <w:numPr>
          <w:ilvl w:val="0"/>
          <w:numId w:val="6"/>
        </w:numPr>
        <w:spacing w:before="0" w:after="60"/>
        <w:ind w:hanging="357" w:left="1985"/>
        <w:rPr>
          <w:highlight w:val="none"/>
          <w:shd w:fill="auto" w:val="clear"/>
        </w:rPr>
      </w:pPr>
      <w:r>
        <w:rPr>
          <w:shd w:fill="auto" w:val="clear"/>
        </w:rPr>
        <w:t>Vibro roller - 1 (3 tons)</w:t>
      </w:r>
    </w:p>
    <w:p>
      <w:pPr>
        <w:pStyle w:val="Normal"/>
        <w:numPr>
          <w:ilvl w:val="0"/>
          <w:numId w:val="6"/>
        </w:numPr>
        <w:spacing w:before="0" w:after="60"/>
        <w:ind w:hanging="357" w:left="1985"/>
        <w:rPr>
          <w:highlight w:val="none"/>
          <w:shd w:fill="auto" w:val="clear"/>
        </w:rPr>
      </w:pPr>
      <w:r>
        <w:rPr>
          <w:shd w:fill="auto" w:val="clear"/>
        </w:rPr>
        <w:t>Vibro plate  compressor – 1;</w:t>
      </w:r>
    </w:p>
    <w:p>
      <w:pPr>
        <w:pStyle w:val="Normal"/>
        <w:numPr>
          <w:ilvl w:val="0"/>
          <w:numId w:val="6"/>
        </w:numPr>
        <w:spacing w:before="0" w:after="60"/>
        <w:ind w:hanging="357" w:left="1985"/>
        <w:rPr>
          <w:highlight w:val="none"/>
          <w:shd w:fill="auto" w:val="clear"/>
        </w:rPr>
      </w:pPr>
      <w:r>
        <w:rPr>
          <w:shd w:fill="auto" w:val="clear"/>
        </w:rPr>
        <w:t>Small tools for construction (small concrete mixers, wheel-barrows,</w:t>
        <w:br/>
        <w:t>portable pneumatic hammer/drill, chainsaw, welding apparatus,</w:t>
        <w:br/>
        <w:t>digital instrument for measuring of insulation and grounding etc.).</w:t>
      </w:r>
    </w:p>
    <w:p>
      <w:pPr>
        <w:pStyle w:val="Normal"/>
        <w:ind w:left="851"/>
        <w:rPr>
          <w:highlight w:val="none"/>
          <w:shd w:fill="auto" w:val="clear"/>
        </w:rPr>
      </w:pPr>
      <w:r>
        <w:rPr>
          <w:shd w:fill="auto" w:val="clear"/>
        </w:rPr>
        <w:t>The tenderer must indicate whether this equipment is owned, hired or used by a subcontractor. Manufacturer’s documents fully describing the equipment must be submitted with the tender (Form 4.6.2);</w:t>
      </w:r>
    </w:p>
    <w:p>
      <w:pPr>
        <w:pStyle w:val="Normal"/>
        <w:numPr>
          <w:ilvl w:val="0"/>
          <w:numId w:val="5"/>
        </w:numPr>
        <w:ind w:hanging="360" w:left="1276"/>
        <w:rPr>
          <w:highlight w:val="none"/>
          <w:shd w:fill="auto" w:val="clear"/>
        </w:rPr>
      </w:pPr>
      <w:r>
        <w:rPr>
          <w:shd w:fill="auto" w:val="clear"/>
        </w:rPr>
        <w:t xml:space="preserve">a list of materials and any supplies intended for use in the works, </w:t>
      </w:r>
    </w:p>
    <w:p>
      <w:pPr>
        <w:pStyle w:val="Normal"/>
        <w:numPr>
          <w:ilvl w:val="0"/>
          <w:numId w:val="5"/>
        </w:numPr>
        <w:ind w:hanging="360" w:left="1276"/>
        <w:rPr>
          <w:highlight w:val="none"/>
          <w:shd w:fill="auto" w:val="clear"/>
        </w:rPr>
      </w:pPr>
      <w:r>
        <w:rPr>
          <w:shd w:fill="auto" w:val="clear"/>
        </w:rPr>
        <w:t>a work plan with brief descriptions of the main tasks (Form 4.6.3), showing the sequence and proposed timetable for implementing the tasks. In particular, the proposal must detail the temporary and permanent works to be constructed. The tenderer must take account of weather conditions and the requirement to prepare designs and obtain building permits prior to carrying out construction works. The tenderer must also submit a comprehensive method statement, with drawings if necessary, showing the methods by which it proposes to carry out the works. In particular, the tenderer must indicate the numbers, types and capacities of the plant and personnel it proposes to use on the main areas of work;</w:t>
      </w:r>
    </w:p>
    <w:p>
      <w:pPr>
        <w:pStyle w:val="Normal"/>
        <w:numPr>
          <w:ilvl w:val="0"/>
          <w:numId w:val="5"/>
        </w:numPr>
        <w:ind w:hanging="360" w:left="1276"/>
        <w:rPr>
          <w:highlight w:val="none"/>
          <w:shd w:fill="auto" w:val="clear"/>
        </w:rPr>
      </w:pPr>
      <w:r>
        <w:rPr>
          <w:shd w:fill="auto" w:val="clear"/>
        </w:rPr>
        <w:t>a critical milestone bar chart showing times and duties allocated for employees for this contract (Form 4.6.3);</w:t>
      </w:r>
    </w:p>
    <w:p>
      <w:pPr>
        <w:pStyle w:val="Normal"/>
        <w:numPr>
          <w:ilvl w:val="0"/>
          <w:numId w:val="5"/>
        </w:numPr>
        <w:ind w:hanging="360" w:left="1276"/>
        <w:rPr>
          <w:highlight w:val="none"/>
          <w:shd w:fill="auto" w:val="clear"/>
        </w:rPr>
      </w:pPr>
      <w:r>
        <w:rPr>
          <w:shd w:fill="auto" w:val="clear"/>
        </w:rPr>
        <w:t>data on subcontractors and the percentage of works to be subcontracted (Form 4.6.3);</w:t>
      </w:r>
    </w:p>
    <w:p>
      <w:pPr>
        <w:pStyle w:val="Normal"/>
        <w:numPr>
          <w:ilvl w:val="0"/>
          <w:numId w:val="5"/>
        </w:numPr>
        <w:ind w:hanging="360" w:left="1276"/>
        <w:rPr>
          <w:highlight w:val="none"/>
          <w:shd w:fill="auto" w:val="clear"/>
        </w:rPr>
      </w:pPr>
      <w:r>
        <w:rPr>
          <w:shd w:fill="auto" w:val="clear"/>
        </w:rPr>
        <w:t>evidence of relevant experience in carrying out works of a similar nature, including the nature and value of the contracts, works in hand and contractually committed (Form 4.6.4). The evidence must include successful experience as the prime contractor in construction of at least 1 projects of the same nature and complexity comparable to the works concerned by the tender during the last five years;</w:t>
      </w:r>
    </w:p>
    <w:p>
      <w:pPr>
        <w:pStyle w:val="Normal"/>
        <w:numPr>
          <w:ilvl w:val="0"/>
          <w:numId w:val="5"/>
        </w:numPr>
        <w:ind w:hanging="360" w:left="1276"/>
        <w:rPr>
          <w:highlight w:val="none"/>
          <w:shd w:fill="auto" w:val="clear"/>
        </w:rPr>
      </w:pPr>
      <w:r>
        <w:rPr>
          <w:shd w:fill="auto" w:val="clear"/>
        </w:rPr>
        <w:t>information regarding the proposed main site office (Form 4.6.3) - NA;</w:t>
      </w:r>
    </w:p>
    <w:p>
      <w:pPr>
        <w:pStyle w:val="Normal"/>
        <w:numPr>
          <w:ilvl w:val="0"/>
          <w:numId w:val="5"/>
        </w:numPr>
        <w:ind w:hanging="360" w:left="1276"/>
        <w:rPr>
          <w:highlight w:val="none"/>
          <w:shd w:fill="auto" w:val="clear"/>
        </w:rPr>
      </w:pPr>
      <w:r>
        <w:rPr>
          <w:shd w:fill="auto" w:val="clear"/>
        </w:rPr>
        <w:t>an outline of the quality assurance system(s) to be used (Form 4.6.7).</w:t>
      </w:r>
    </w:p>
    <w:p>
      <w:pPr>
        <w:pStyle w:val="Normal"/>
        <w:numPr>
          <w:ilvl w:val="0"/>
          <w:numId w:val="5"/>
        </w:numPr>
        <w:ind w:hanging="360" w:left="1276"/>
        <w:rPr>
          <w:highlight w:val="none"/>
          <w:shd w:fill="auto" w:val="clear"/>
        </w:rPr>
      </w:pPr>
      <w:r>
        <w:rPr>
          <w:shd w:fill="auto" w:val="clear"/>
        </w:rPr>
        <w:t>if applicable, information on tenderers involved in a joint venture/consortium (Form 4.6.5);</w:t>
      </w:r>
    </w:p>
    <w:p>
      <w:pPr>
        <w:pStyle w:val="Normal"/>
        <w:numPr>
          <w:ilvl w:val="0"/>
          <w:numId w:val="5"/>
        </w:numPr>
        <w:ind w:hanging="360" w:left="1276"/>
        <w:rPr>
          <w:highlight w:val="none"/>
          <w:shd w:fill="auto" w:val="clear"/>
        </w:rPr>
      </w:pPr>
      <w:r>
        <w:rPr>
          <w:shd w:fill="auto" w:val="clear"/>
        </w:rPr>
        <w:t>details of their litigation history over the last 3 years (Form 4.6.6);</w:t>
      </w:r>
    </w:p>
    <w:p>
      <w:pPr>
        <w:pStyle w:val="Normal"/>
        <w:numPr>
          <w:ilvl w:val="0"/>
          <w:numId w:val="5"/>
        </w:numPr>
        <w:ind w:hanging="360" w:left="1276"/>
        <w:rPr>
          <w:highlight w:val="none"/>
          <w:shd w:fill="auto" w:val="clear"/>
        </w:rPr>
      </w:pPr>
      <w:r>
        <w:rPr>
          <w:shd w:fill="auto" w:val="clear"/>
        </w:rPr>
        <w:t>details of the accommodation and facilities to be provided for the Supervisor (Form 4.6.8) - NA;</w:t>
      </w:r>
    </w:p>
    <w:p>
      <w:pPr>
        <w:pStyle w:val="Normal"/>
        <w:numPr>
          <w:ilvl w:val="0"/>
          <w:numId w:val="5"/>
        </w:numPr>
        <w:spacing w:before="0" w:after="240"/>
        <w:ind w:hanging="357" w:left="1276"/>
        <w:rPr>
          <w:highlight w:val="none"/>
          <w:shd w:fill="auto" w:val="clear"/>
        </w:rPr>
      </w:pPr>
      <w:r>
        <w:rPr>
          <w:shd w:fill="auto" w:val="clear"/>
        </w:rPr>
        <w:t>any other information (Form 4.6.9).</w:t>
      </w:r>
    </w:p>
    <w:p>
      <w:pPr>
        <w:pStyle w:val="Heading4"/>
        <w:rPr>
          <w:highlight w:val="none"/>
          <w:shd w:fill="auto" w:val="clear"/>
        </w:rPr>
      </w:pPr>
      <w:r>
        <w:rPr>
          <w:shd w:fill="auto" w:val="clear"/>
        </w:rPr>
        <w:t>Proof documents, declarations and undertakings according to Clauses 3.1-3.4 above. These documents should cover all members of a joint venture/consortium and all subcontractors as specified.</w:t>
      </w:r>
    </w:p>
    <w:p>
      <w:pPr>
        <w:pStyle w:val="Normal"/>
        <w:spacing w:before="120" w:after="120"/>
        <w:ind w:left="851"/>
        <w:rPr>
          <w:highlight w:val="none"/>
          <w:shd w:fill="auto" w:val="clear"/>
        </w:rPr>
      </w:pPr>
      <w:r>
        <w:rPr>
          <w:shd w:fill="auto" w:val="clear"/>
        </w:rPr>
        <w:t>All supplies under this contract may originate in any country.</w:t>
      </w:r>
    </w:p>
    <w:p>
      <w:pPr>
        <w:pStyle w:val="Normal"/>
        <w:spacing w:before="120" w:after="120"/>
        <w:ind w:left="851"/>
        <w:rPr>
          <w:highlight w:val="none"/>
          <w:shd w:fill="auto" w:val="clear"/>
        </w:rPr>
      </w:pPr>
      <w:r>
        <w:rPr>
          <w:shd w:fill="auto" w:val="clear"/>
        </w:rPr>
        <w:t xml:space="preserve">Through their tender submission form, 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w:t>
      </w:r>
    </w:p>
    <w:p>
      <w:pPr>
        <w:pStyle w:val="Heading3"/>
        <w:rPr>
          <w:highlight w:val="none"/>
          <w:shd w:fill="auto" w:val="clear"/>
        </w:rPr>
      </w:pPr>
      <w:r>
        <w:rPr>
          <w:shd w:fill="auto" w:val="clear"/>
        </w:rPr>
        <w:t>In order to be eligible for the award of the contract, tenderers must provide evidence that they meet the selection criteria. This must be provided by tenderers using the forms described in 12.1 above and any additional forms tenderers may wish to use.</w:t>
      </w:r>
    </w:p>
    <w:p>
      <w:pPr>
        <w:pStyle w:val="Normal"/>
        <w:rPr>
          <w:highlight w:val="none"/>
          <w:shd w:fill="auto" w:val="clear"/>
        </w:rPr>
      </w:pPr>
      <w:r>
        <w:rPr>
          <w:shd w:fill="auto" w:val="clear"/>
        </w:rPr>
        <w:t>If a tender is submitted by a consortium, unless specified, the selection criteria will be applied to the consortium as a whole.</w:t>
      </w:r>
    </w:p>
    <w:p>
      <w:pPr>
        <w:pStyle w:val="Normal"/>
        <w:rPr>
          <w:highlight w:val="none"/>
          <w:shd w:fill="auto" w:val="clear"/>
        </w:rPr>
      </w:pPr>
      <w:r>
        <w:rPr>
          <w:shd w:fill="auto" w:val="clear"/>
        </w:rPr>
        <w:t>The selection criteria for each tenderer are as follows:</w:t>
      </w:r>
    </w:p>
    <w:p>
      <w:pPr>
        <w:pStyle w:val="Normal"/>
        <w:numPr>
          <w:ilvl w:val="0"/>
          <w:numId w:val="17"/>
        </w:numPr>
        <w:snapToGrid w:val="false"/>
        <w:spacing w:before="120" w:after="0"/>
        <w:rPr>
          <w:highlight w:val="none"/>
          <w:shd w:fill="auto" w:val="clear"/>
        </w:rPr>
      </w:pPr>
      <w:r>
        <w:rPr>
          <w:szCs w:val="22"/>
          <w:shd w:fill="auto" w:val="clear"/>
        </w:rPr>
        <w:t>For this project the tenderer should allocate Key personal (engineer) with the following criteria;</w:t>
      </w:r>
    </w:p>
    <w:p>
      <w:pPr>
        <w:pStyle w:val="Normal"/>
        <w:widowControl w:val="false"/>
        <w:numPr>
          <w:ilvl w:val="1"/>
          <w:numId w:val="17"/>
        </w:numPr>
        <w:spacing w:before="60" w:after="40"/>
        <w:rPr>
          <w:highlight w:val="none"/>
          <w:shd w:fill="auto" w:val="clear"/>
        </w:rPr>
      </w:pPr>
      <w:r>
        <w:rPr>
          <w:szCs w:val="22"/>
          <w:shd w:fill="auto" w:val="clear"/>
        </w:rPr>
        <w:t xml:space="preserve">Education: Bachelor's Degree level in Civil Engineering / Architect; </w:t>
      </w:r>
    </w:p>
    <w:p>
      <w:pPr>
        <w:pStyle w:val="Normal"/>
        <w:widowControl w:val="false"/>
        <w:numPr>
          <w:ilvl w:val="1"/>
          <w:numId w:val="17"/>
        </w:numPr>
        <w:spacing w:before="60" w:after="40"/>
        <w:ind w:hanging="142" w:left="1560"/>
        <w:rPr>
          <w:highlight w:val="none"/>
          <w:shd w:fill="auto" w:val="clear"/>
        </w:rPr>
      </w:pPr>
      <w:r>
        <w:rPr>
          <w:szCs w:val="22"/>
          <w:shd w:fill="auto" w:val="clear"/>
        </w:rPr>
        <w:t>Certificates: minimum Authorisation “B” for construction issued by the Chamber of certified Architects and certified Engineers of Republic of North Macedonia / or equivalent document issued by relevant institution for candidates outside the Republic of North Macedonia;</w:t>
      </w:r>
    </w:p>
    <w:p>
      <w:pPr>
        <w:pStyle w:val="Normal"/>
        <w:widowControl w:val="false"/>
        <w:numPr>
          <w:ilvl w:val="1"/>
          <w:numId w:val="17"/>
        </w:numPr>
        <w:spacing w:before="60" w:after="40"/>
        <w:ind w:hanging="142" w:left="1560"/>
        <w:rPr>
          <w:highlight w:val="none"/>
          <w:shd w:fill="auto" w:val="clear"/>
        </w:rPr>
      </w:pPr>
      <w:r>
        <w:rPr>
          <w:szCs w:val="22"/>
          <w:shd w:fill="auto" w:val="clear"/>
        </w:rPr>
        <w:t>Professional experience: experience in at least 2 projects as Technical Site Manager / Project Manager / Site engineer of works contracts.</w:t>
      </w:r>
    </w:p>
    <w:p>
      <w:pPr>
        <w:pStyle w:val="Normal"/>
        <w:ind w:left="709"/>
        <w:rPr>
          <w:highlight w:val="none"/>
          <w:shd w:fill="auto" w:val="clear"/>
        </w:rPr>
      </w:pPr>
      <w:r>
        <w:rPr>
          <w:szCs w:val="22"/>
          <w:shd w:fill="auto" w:val="clear"/>
        </w:rPr>
        <w:t xml:space="preserve">The information should be presented in the Vol. 1, Section 4, Form 4.6.1.2 </w:t>
      </w:r>
      <w:bookmarkStart w:id="19" w:name="_Toc41823846"/>
      <w:r>
        <w:rPr>
          <w:szCs w:val="22"/>
          <w:shd w:fill="auto" w:val="clear"/>
        </w:rPr>
        <w:t>Staff to be employed on the contract</w:t>
      </w:r>
      <w:bookmarkEnd w:id="19"/>
      <w:r>
        <w:rPr>
          <w:szCs w:val="22"/>
          <w:shd w:fill="auto" w:val="clear"/>
        </w:rPr>
        <w:t>.</w:t>
      </w:r>
    </w:p>
    <w:p>
      <w:pPr>
        <w:pStyle w:val="Normal"/>
        <w:ind w:left="709"/>
        <w:rPr>
          <w:highlight w:val="none"/>
          <w:shd w:fill="auto" w:val="clear"/>
        </w:rPr>
      </w:pPr>
      <w:r>
        <w:rPr>
          <w:szCs w:val="22"/>
          <w:shd w:fill="auto" w:val="clear"/>
        </w:rPr>
        <w:t xml:space="preserve">The tenderer should provide proof for the education (diplomas), authorization according the national legislation i.e. Authorisation “B” for Technical Site Manager/Civil Construction Engineer/Architect issued by the Chamber of certified Architects and certified Engineers of Republic of North Macedonia / or equivalent document issued by relevant institution for candidates outside the Republic of North Macedonia. Contracting authority may request for contracts, references or other documents to proof the professional experience of the Key Staff. </w:t>
      </w:r>
    </w:p>
    <w:p>
      <w:pPr>
        <w:pStyle w:val="Normal"/>
        <w:numPr>
          <w:ilvl w:val="0"/>
          <w:numId w:val="17"/>
        </w:numPr>
        <w:snapToGrid w:val="false"/>
        <w:spacing w:before="120" w:after="0"/>
        <w:rPr>
          <w:highlight w:val="none"/>
          <w:shd w:fill="auto" w:val="clear"/>
        </w:rPr>
      </w:pPr>
      <w:r>
        <w:rPr>
          <w:szCs w:val="22"/>
          <w:shd w:fill="auto" w:val="clear"/>
        </w:rPr>
        <w:t xml:space="preserve">The tenderers have to list the contracts i.e. experiences (Volume 1, Section </w:t>
      </w:r>
      <w:r>
        <w:rPr>
          <w:szCs w:val="22"/>
          <w:shd w:fill="auto" w:val="clear"/>
          <w:lang w:val="mk-MK"/>
        </w:rPr>
        <w:t>4</w:t>
      </w:r>
      <w:r>
        <w:rPr>
          <w:szCs w:val="22"/>
          <w:shd w:fill="auto" w:val="clear"/>
        </w:rPr>
        <w:t>, Form 4.6.</w:t>
      </w:r>
      <w:r>
        <w:rPr>
          <w:szCs w:val="22"/>
          <w:shd w:fill="auto" w:val="clear"/>
          <w:lang w:val="mk-MK"/>
        </w:rPr>
        <w:t>4</w:t>
      </w:r>
      <w:r>
        <w:rPr>
          <w:szCs w:val="22"/>
          <w:shd w:fill="auto" w:val="clear"/>
        </w:rPr>
        <w:t xml:space="preserve"> Experience as Contractor) and have to provide at least 1 contract for works carried out in the last five years. Contract is considered completed if provisional/ final acceptance/ technical reception or equivalent certificate is issued by Contracting Authority/ Employer/ Client/ Supervisor clearly indicating the date of issuing of the aforementioned certificates. Completion means that the project the tenderer refers to has been completed at any time during the indicated period but it does not necessarily have to be started during that period, or implemented during the entire period.</w:t>
      </w:r>
    </w:p>
    <w:p>
      <w:pPr>
        <w:pStyle w:val="Normal"/>
        <w:numPr>
          <w:ilvl w:val="0"/>
          <w:numId w:val="17"/>
        </w:numPr>
        <w:snapToGrid w:val="false"/>
        <w:spacing w:before="120" w:after="120"/>
        <w:rPr>
          <w:highlight w:val="none"/>
          <w:shd w:fill="auto" w:val="clear"/>
        </w:rPr>
      </w:pPr>
      <w:r>
        <w:rPr>
          <w:szCs w:val="22"/>
          <w:shd w:fill="auto" w:val="clear"/>
        </w:rPr>
        <w:t>The tenderer must have the necessary technical capacity, i.e. machines, equipment, to prove that he can fulfil the works (Vol. 1, Section 4, Form 4.6.2 Plants). If the tenderer hasn’t got the necessary equipment he has to declare that he owns, have contract for rent the equipment or owned by the sub-contractor. The minimum should include:</w:t>
      </w:r>
    </w:p>
    <w:p>
      <w:pPr>
        <w:pStyle w:val="Normal"/>
        <w:numPr>
          <w:ilvl w:val="0"/>
          <w:numId w:val="15"/>
        </w:numPr>
        <w:spacing w:before="0" w:after="80"/>
        <w:jc w:val="left"/>
        <w:rPr>
          <w:highlight w:val="none"/>
          <w:shd w:fill="auto" w:val="clear"/>
        </w:rPr>
      </w:pPr>
      <w:r>
        <w:rPr>
          <w:szCs w:val="22"/>
          <w:shd w:fill="auto" w:val="clear"/>
        </w:rPr>
        <w:t>Tipper truck – at least 1 (minimum load 10 tons);</w:t>
      </w:r>
    </w:p>
    <w:p>
      <w:pPr>
        <w:pStyle w:val="Normal"/>
        <w:numPr>
          <w:ilvl w:val="0"/>
          <w:numId w:val="15"/>
        </w:numPr>
        <w:spacing w:before="0" w:after="80"/>
        <w:jc w:val="left"/>
        <w:rPr>
          <w:highlight w:val="none"/>
          <w:shd w:fill="auto" w:val="clear"/>
        </w:rPr>
      </w:pPr>
      <w:r>
        <w:rPr>
          <w:szCs w:val="22"/>
          <w:shd w:fill="auto" w:val="clear"/>
        </w:rPr>
        <w:t>Truck – at least 1 (minimum load 12 tons);</w:t>
      </w:r>
    </w:p>
    <w:p>
      <w:pPr>
        <w:pStyle w:val="Normal"/>
        <w:numPr>
          <w:ilvl w:val="0"/>
          <w:numId w:val="15"/>
        </w:numPr>
        <w:spacing w:before="0" w:after="80"/>
        <w:jc w:val="left"/>
        <w:rPr>
          <w:highlight w:val="none"/>
          <w:shd w:fill="auto" w:val="clear"/>
        </w:rPr>
      </w:pPr>
      <w:r>
        <w:rPr>
          <w:szCs w:val="22"/>
          <w:shd w:fill="auto" w:val="clear"/>
        </w:rPr>
        <w:t>Bulldozer – 1 (minimum weight 15 tons);</w:t>
      </w:r>
    </w:p>
    <w:p>
      <w:pPr>
        <w:pStyle w:val="Normal"/>
        <w:numPr>
          <w:ilvl w:val="0"/>
          <w:numId w:val="15"/>
        </w:numPr>
        <w:spacing w:before="0" w:after="80"/>
        <w:jc w:val="left"/>
        <w:rPr>
          <w:highlight w:val="none"/>
          <w:shd w:fill="auto" w:val="clear"/>
        </w:rPr>
      </w:pPr>
      <w:r>
        <w:rPr>
          <w:szCs w:val="22"/>
          <w:shd w:fill="auto" w:val="clear"/>
        </w:rPr>
        <w:t>Excavator – 1 (minimum weight 10 tons);</w:t>
      </w:r>
    </w:p>
    <w:p>
      <w:pPr>
        <w:pStyle w:val="Normal"/>
        <w:numPr>
          <w:ilvl w:val="0"/>
          <w:numId w:val="15"/>
        </w:numPr>
        <w:spacing w:before="0" w:after="80"/>
        <w:jc w:val="left"/>
        <w:rPr>
          <w:highlight w:val="none"/>
          <w:shd w:fill="auto" w:val="clear"/>
        </w:rPr>
      </w:pPr>
      <w:r>
        <w:rPr>
          <w:szCs w:val="22"/>
          <w:shd w:fill="auto" w:val="clear"/>
        </w:rPr>
        <w:t>Vibro roller - 1 (3 tons)</w:t>
      </w:r>
    </w:p>
    <w:p>
      <w:pPr>
        <w:pStyle w:val="Normal"/>
        <w:numPr>
          <w:ilvl w:val="0"/>
          <w:numId w:val="15"/>
        </w:numPr>
        <w:spacing w:before="0" w:after="80"/>
        <w:jc w:val="left"/>
        <w:rPr>
          <w:highlight w:val="none"/>
          <w:shd w:fill="auto" w:val="clear"/>
        </w:rPr>
      </w:pPr>
      <w:r>
        <w:rPr>
          <w:szCs w:val="22"/>
          <w:shd w:fill="auto" w:val="clear"/>
        </w:rPr>
        <w:t>Vibro plate  compressor – 1;</w:t>
      </w:r>
    </w:p>
    <w:p>
      <w:pPr>
        <w:pStyle w:val="Normal"/>
        <w:numPr>
          <w:ilvl w:val="0"/>
          <w:numId w:val="15"/>
        </w:numPr>
        <w:spacing w:before="0" w:after="80"/>
        <w:jc w:val="left"/>
        <w:rPr>
          <w:highlight w:val="none"/>
          <w:shd w:fill="auto" w:val="clear"/>
        </w:rPr>
      </w:pPr>
      <w:r>
        <w:rPr>
          <w:szCs w:val="22"/>
          <w:shd w:fill="auto" w:val="clear"/>
        </w:rPr>
        <w:t>Small tools for construction (small concrete mixers, wheel-barrows,</w:t>
        <w:br/>
        <w:t>portable pneumatic hammer/drill, chainsaw, welding apparatus,</w:t>
        <w:br/>
        <w:t>digital instrument for measuring of insulation and grounding etc.).</w:t>
      </w:r>
    </w:p>
    <w:p>
      <w:pPr>
        <w:pStyle w:val="Normal"/>
        <w:numPr>
          <w:ilvl w:val="0"/>
          <w:numId w:val="17"/>
        </w:numPr>
        <w:snapToGrid w:val="false"/>
        <w:spacing w:before="120" w:after="0"/>
        <w:rPr>
          <w:highlight w:val="none"/>
          <w:shd w:fill="auto" w:val="clear"/>
        </w:rPr>
      </w:pPr>
      <w:r>
        <w:rPr>
          <w:szCs w:val="22"/>
          <w:shd w:fill="auto" w:val="clear"/>
        </w:rPr>
        <w:t xml:space="preserve">Certificate (or other type of document) for working at height. </w:t>
      </w:r>
    </w:p>
    <w:p>
      <w:pPr>
        <w:pStyle w:val="Normal"/>
        <w:numPr>
          <w:ilvl w:val="0"/>
          <w:numId w:val="17"/>
        </w:numPr>
        <w:snapToGrid w:val="false"/>
        <w:spacing w:before="120" w:after="0"/>
        <w:rPr>
          <w:highlight w:val="none"/>
          <w:shd w:fill="auto" w:val="clear"/>
        </w:rPr>
      </w:pPr>
      <w:r>
        <w:rPr>
          <w:szCs w:val="22"/>
          <w:shd w:fill="auto" w:val="clear"/>
        </w:rPr>
        <w:t xml:space="preserve">a statement of the average annual manpower and the number of managerial staff of the economic operator for the last three years. </w:t>
      </w:r>
    </w:p>
    <w:p>
      <w:pPr>
        <w:pStyle w:val="Heading4"/>
        <w:rPr>
          <w:highlight w:val="none"/>
          <w:shd w:fill="auto" w:val="clear"/>
        </w:rPr>
      </w:pPr>
      <w:r>
        <w:rPr>
          <w:shd w:fill="auto" w:val="clear"/>
        </w:rPr>
        <w:t>Economic and financial capacity of candidate:</w:t>
      </w:r>
    </w:p>
    <w:p>
      <w:pPr>
        <w:pStyle w:val="Normal"/>
        <w:widowControl w:val="false"/>
        <w:numPr>
          <w:ilvl w:val="0"/>
          <w:numId w:val="16"/>
        </w:numPr>
        <w:spacing w:before="100" w:after="100"/>
        <w:rPr>
          <w:highlight w:val="none"/>
          <w:shd w:fill="auto" w:val="clear"/>
        </w:rPr>
      </w:pPr>
      <w:r>
        <w:rPr>
          <w:shd w:fill="auto" w:val="clear"/>
        </w:rPr>
        <w:t>The average annual turnover of the tenderer in the past 3 years must be at least 300.000 EUR.</w:t>
      </w:r>
    </w:p>
    <w:p>
      <w:pPr>
        <w:pStyle w:val="Normal"/>
        <w:widowControl w:val="false"/>
        <w:numPr>
          <w:ilvl w:val="0"/>
          <w:numId w:val="16"/>
        </w:numPr>
        <w:spacing w:before="100" w:after="100"/>
        <w:rPr>
          <w:highlight w:val="none"/>
          <w:shd w:fill="auto" w:val="clear"/>
        </w:rPr>
      </w:pPr>
      <w:r>
        <w:rPr>
          <w:shd w:fill="auto" w:val="clear"/>
        </w:rPr>
        <w:t>The tenderer must have access to an amount of credit on 100.000 EUR (or same amount in national currency, the conversion to EUR shall be made in accordance with the applicable InforEuro exchange rate, corresponding to the deadline for submitting the offer).</w:t>
      </w:r>
    </w:p>
    <w:p>
      <w:pPr>
        <w:pStyle w:val="Normal"/>
        <w:ind w:left="709"/>
        <w:rPr>
          <w:highlight w:val="none"/>
          <w:shd w:fill="auto" w:val="clear"/>
        </w:rPr>
      </w:pPr>
      <w:r>
        <w:rPr>
          <w:shd w:fill="auto" w:val="clear"/>
        </w:rPr>
        <w:t>The requirement under 12.2.1.i must be proven by financial statements (balance sheets/ profit &amp; loss statements/ cash flow statements) of the tenderer for the last 3 closed financial years (202</w:t>
      </w:r>
      <w:r>
        <w:rPr>
          <w:shd w:fill="auto" w:val="clear"/>
          <w:lang w:val="mk-MK"/>
        </w:rPr>
        <w:t>2</w:t>
      </w:r>
      <w:r>
        <w:rPr>
          <w:shd w:fill="auto" w:val="clear"/>
        </w:rPr>
        <w:t>, 202</w:t>
      </w:r>
      <w:r>
        <w:rPr>
          <w:shd w:fill="auto" w:val="clear"/>
          <w:lang w:val="mk-MK"/>
        </w:rPr>
        <w:t>3</w:t>
      </w:r>
      <w:r>
        <w:rPr>
          <w:shd w:fill="auto" w:val="clear"/>
        </w:rPr>
        <w:t xml:space="preserve"> &amp; 202</w:t>
      </w:r>
      <w:r>
        <w:rPr>
          <w:shd w:fill="auto" w:val="clear"/>
          <w:lang w:val="mk-MK"/>
        </w:rPr>
        <w:t>4</w:t>
      </w:r>
      <w:r>
        <w:rPr>
          <w:shd w:fill="auto" w:val="clear"/>
        </w:rPr>
        <w:t>).</w:t>
      </w:r>
    </w:p>
    <w:p>
      <w:pPr>
        <w:pStyle w:val="Normal"/>
        <w:ind w:left="709"/>
        <w:rPr>
          <w:highlight w:val="none"/>
          <w:shd w:fill="auto" w:val="clear"/>
        </w:rPr>
      </w:pPr>
      <w:r>
        <w:rPr>
          <w:shd w:fill="auto" w:val="clear"/>
        </w:rPr>
        <w:t>The requirement under 12.2.1.ii must be proven by bank statement, issued in the name of the tenderer or any member of the consortium.</w:t>
      </w:r>
    </w:p>
    <w:p>
      <w:pPr>
        <w:pStyle w:val="Heading4"/>
        <w:rPr>
          <w:highlight w:val="none"/>
          <w:shd w:fill="auto" w:val="clear"/>
        </w:rPr>
      </w:pPr>
      <w:r>
        <w:rPr>
          <w:shd w:fill="auto" w:val="clear"/>
        </w:rPr>
        <w:t>Technical and professional capacity of company:</w:t>
      </w:r>
    </w:p>
    <w:p>
      <w:pPr>
        <w:pStyle w:val="Normal"/>
        <w:widowControl w:val="false"/>
        <w:numPr>
          <w:ilvl w:val="0"/>
          <w:numId w:val="18"/>
        </w:numPr>
        <w:spacing w:before="100" w:after="100"/>
        <w:rPr>
          <w:highlight w:val="none"/>
          <w:shd w:fill="auto" w:val="clear"/>
        </w:rPr>
      </w:pPr>
      <w:r>
        <w:rPr>
          <w:shd w:fill="auto" w:val="clear"/>
        </w:rPr>
        <w:t xml:space="preserve">it must have completed at least 1 project of the same nature/amount/complexity as the works </w:t>
      </w:r>
      <w:r>
        <w:rPr>
          <w:b/>
          <w:shd w:fill="auto" w:val="clear"/>
        </w:rPr>
        <w:t>concerned</w:t>
      </w:r>
      <w:r>
        <w:rPr>
          <w:shd w:fill="auto" w:val="clear"/>
        </w:rPr>
        <w:t xml:space="preserve"> by the tender and implemented during the following period: 5 years counting from the submission deadline.</w:t>
      </w:r>
    </w:p>
    <w:p>
      <w:pPr>
        <w:pStyle w:val="Normal"/>
        <w:widowControl w:val="false"/>
        <w:numPr>
          <w:ilvl w:val="0"/>
          <w:numId w:val="18"/>
        </w:numPr>
        <w:spacing w:before="100" w:after="100"/>
        <w:rPr>
          <w:highlight w:val="none"/>
          <w:shd w:fill="auto" w:val="clear"/>
        </w:rPr>
      </w:pPr>
      <w:r>
        <w:rPr>
          <w:shd w:fill="auto" w:val="clear"/>
        </w:rPr>
        <w:t>Contract/s for construction of adventure/adrenalin parks and surfaces using elements and props of large size will be considered as advantage.</w:t>
      </w:r>
    </w:p>
    <w:p>
      <w:pPr>
        <w:pStyle w:val="Normal"/>
        <w:widowControl w:val="false"/>
        <w:numPr>
          <w:ilvl w:val="0"/>
          <w:numId w:val="18"/>
        </w:numPr>
        <w:spacing w:before="100" w:after="100"/>
        <w:rPr>
          <w:highlight w:val="none"/>
          <w:shd w:fill="auto" w:val="clear"/>
        </w:rPr>
      </w:pPr>
      <w:r>
        <w:rPr>
          <w:shd w:fill="auto" w:val="clear"/>
        </w:rPr>
        <w:t xml:space="preserve">The Tenderers must be a duly registered firm or natural person in accordance with the Law on Construction of the Republic of North Macedonia - Official Gazette No. 130/09, 124/10, 18/11, 36/11, 54/11, 13/12, 144/12, 25/13, 79/13, 137/13, 163/13, 27/14, 28/14, 42/14, 115/14, 149/14, 187/14, 44/15, 129/15, 217/15, 226/15, 30/16, 31/16, </w:t>
      </w:r>
      <w:r>
        <w:rPr>
          <w:shd w:fill="auto" w:val="clear"/>
          <w:lang w:val="mk-MK"/>
        </w:rPr>
        <w:t>3</w:t>
      </w:r>
      <w:r>
        <w:rPr>
          <w:shd w:fill="auto" w:val="clear"/>
        </w:rPr>
        <w:t>9/16, 71/16, 132/16, 35/18</w:t>
      </w:r>
      <w:r>
        <w:rPr>
          <w:shd w:fill="auto" w:val="clear"/>
          <w:lang w:val="mk-MK"/>
        </w:rPr>
        <w:t>,</w:t>
      </w:r>
      <w:r>
        <w:rPr>
          <w:shd w:fill="auto" w:val="clear"/>
        </w:rPr>
        <w:t xml:space="preserve"> 64/18, 168/18, 244/19, 18/20 and 279/20), approved to implement works of group II, or equivalent registration on the professional or trade register of the country in which he is established. If the selected contractor has equivalent registration on the professional or trade register of the country in which he is established, before signing the contract it must provide evidence that it is authorized for execution of works in Republic of North Macedonia in accordance with the Law on Construction.</w:t>
      </w:r>
    </w:p>
    <w:p>
      <w:pPr>
        <w:pStyle w:val="Normal"/>
        <w:rPr>
          <w:highlight w:val="none"/>
          <w:shd w:fill="auto" w:val="clear"/>
        </w:rPr>
      </w:pPr>
      <w:r>
        <w:rPr>
          <w:shd w:fill="auto" w:val="clear"/>
        </w:rPr>
        <w:t xml:space="preserve">The requirement under </w:t>
      </w:r>
      <w:r>
        <w:rPr>
          <w:shd w:fill="auto" w:val="clear"/>
          <w:lang w:val="mk-MK"/>
        </w:rPr>
        <w:t>12.2.2</w:t>
      </w:r>
      <w:r>
        <w:rPr>
          <w:shd w:fill="auto" w:val="clear"/>
        </w:rPr>
        <w:t xml:space="preserve">.ii must be </w:t>
      </w:r>
      <w:r>
        <w:rPr>
          <w:shd w:fill="auto" w:val="clear"/>
          <w:lang w:val="en-US"/>
        </w:rPr>
        <w:t xml:space="preserve">accompanied </w:t>
      </w:r>
      <w:r>
        <w:rPr>
          <w:shd w:fill="auto" w:val="clear"/>
        </w:rPr>
        <w:t>by a copy of “Licence B” issued by the Ministry of transport or equivalent as per the legislation of the country of its headquarters’ registration.</w:t>
      </w:r>
    </w:p>
    <w:p>
      <w:pPr>
        <w:pStyle w:val="Normal"/>
        <w:rPr>
          <w:highlight w:val="none"/>
          <w:shd w:fill="auto" w:val="clear"/>
        </w:rPr>
      </w:pPr>
      <w:r>
        <w:rPr>
          <w:shd w:fill="auto" w:val="clear"/>
        </w:rPr>
        <w:t xml:space="preserve">The selection criteria should be clear and non-discriminatory and may not go beyond the scope of the contract. </w:t>
      </w:r>
      <w:r>
        <w:rPr>
          <w:szCs w:val="22"/>
          <w:shd w:fill="auto" w:val="clear"/>
        </w:rPr>
        <w:t xml:space="preserve">The reference period for financial capacity may not go beyond the last 3 years for which accounts have been closed. </w:t>
      </w:r>
      <w:r>
        <w:rPr>
          <w:shd w:fill="auto" w:val="clear"/>
        </w:rPr>
        <w:t>Concerning the professional and technical capacity and in order to verify the corresponding selection criteria, the contracting authority may request one or more of the following:</w:t>
      </w:r>
    </w:p>
    <w:p>
      <w:pPr>
        <w:pStyle w:val="Normal"/>
        <w:ind w:hanging="426" w:left="1276"/>
        <w:rPr>
          <w:highlight w:val="none"/>
          <w:shd w:fill="auto" w:val="clear"/>
        </w:rPr>
      </w:pPr>
      <w:r>
        <w:rPr>
          <w:shd w:fill="auto" w:val="clear"/>
        </w:rPr>
        <w:t>(a)</w:t>
        <w:tab/>
        <w:t>information on the educational and professional qualifications, skills, experience and expertise of the persons responsible for performance;</w:t>
      </w:r>
    </w:p>
    <w:p>
      <w:pPr>
        <w:pStyle w:val="Normal"/>
        <w:ind w:hanging="426" w:left="1276"/>
        <w:rPr>
          <w:highlight w:val="none"/>
          <w:shd w:fill="auto" w:val="clear"/>
        </w:rPr>
      </w:pPr>
      <w:r>
        <w:rPr>
          <w:shd w:fill="auto" w:val="clear"/>
        </w:rPr>
        <w:t>(b)</w:t>
        <w:tab/>
        <w:t>a list of the works carried out in the last five years, accompanied by certificates of satisfactory execution for the most important works. However, where necessary in order to ensure an adequate level of competition, the contracting authority may indicate that evidence of relevant works delivered or performed more than five years before will be taken into account.</w:t>
      </w:r>
    </w:p>
    <w:p>
      <w:pPr>
        <w:pStyle w:val="Normal"/>
        <w:ind w:hanging="426" w:left="1276"/>
        <w:rPr>
          <w:highlight w:val="none"/>
          <w:shd w:fill="auto" w:val="clear"/>
        </w:rPr>
      </w:pPr>
      <w:r>
        <w:rPr>
          <w:shd w:fill="auto" w:val="clear"/>
        </w:rPr>
        <w:t>(c)</w:t>
        <w:tab/>
        <w:t>a statement of the technical equipment, tools or the plant available to the economic operator for performing the works contract;</w:t>
      </w:r>
    </w:p>
    <w:p>
      <w:pPr>
        <w:pStyle w:val="Normal"/>
        <w:ind w:hanging="426" w:left="1276"/>
        <w:rPr>
          <w:highlight w:val="none"/>
          <w:shd w:fill="auto" w:val="clear"/>
        </w:rPr>
      </w:pPr>
      <w:r>
        <w:rPr>
          <w:shd w:fill="auto" w:val="clear"/>
        </w:rPr>
        <w:t>(d)</w:t>
        <w:tab/>
        <w:t>a description of the technical facilities and means available to the economic operator for ensuring quality, and a description of available study and research facilities;</w:t>
      </w:r>
    </w:p>
    <w:p>
      <w:pPr>
        <w:pStyle w:val="Normal"/>
        <w:ind w:hanging="426" w:left="1276"/>
        <w:rPr>
          <w:highlight w:val="none"/>
          <w:shd w:fill="auto" w:val="clear"/>
        </w:rPr>
      </w:pPr>
      <w:r>
        <w:rPr>
          <w:shd w:fill="auto" w:val="clear"/>
        </w:rPr>
        <w:t>(e)</w:t>
        <w:tab/>
        <w:t>a reference to the technicians or technical bodies available to the economic operator, whether or not belonging directly to it, especially those responsible for quality control;</w:t>
      </w:r>
    </w:p>
    <w:p>
      <w:pPr>
        <w:pStyle w:val="Normal"/>
        <w:ind w:hanging="426" w:left="1276"/>
        <w:rPr>
          <w:highlight w:val="none"/>
          <w:shd w:fill="auto" w:val="clear"/>
        </w:rPr>
      </w:pPr>
      <w:r>
        <w:rPr>
          <w:shd w:fill="auto" w:val="clear"/>
        </w:rPr>
        <w:t>(g)</w:t>
        <w:tab/>
        <w:t>a statement of the average annual manpower and the number of managerial personnel of the economic operator for the last three years;</w:t>
      </w:r>
    </w:p>
    <w:p>
      <w:pPr>
        <w:pStyle w:val="Normal"/>
        <w:ind w:hanging="426" w:left="1276"/>
        <w:rPr>
          <w:highlight w:val="none"/>
          <w:shd w:fill="auto" w:val="clear"/>
        </w:rPr>
      </w:pPr>
      <w:r>
        <w:rPr>
          <w:shd w:fill="auto" w:val="clear"/>
        </w:rPr>
        <w:t>(h)</w:t>
        <w:tab/>
        <w:t>an indication of the supply chain management and tracking systems that the economic operator will be able to apply when performing the contract;</w:t>
      </w:r>
    </w:p>
    <w:p>
      <w:pPr>
        <w:pStyle w:val="Normal"/>
        <w:ind w:hanging="426" w:left="1276"/>
        <w:rPr>
          <w:highlight w:val="none"/>
          <w:shd w:fill="auto" w:val="clear"/>
        </w:rPr>
      </w:pPr>
      <w:r>
        <w:rPr>
          <w:shd w:fill="auto" w:val="clear"/>
        </w:rPr>
        <w:t>(i)</w:t>
        <w:tab/>
        <w:t>an indication of the environmental management measures that the economic operator will be able to apply when performing the contract.</w:t>
      </w:r>
    </w:p>
    <w:p>
      <w:pPr>
        <w:pStyle w:val="Normal"/>
        <w:spacing w:before="240" w:after="120"/>
        <w:ind w:hanging="851" w:left="851"/>
        <w:rPr>
          <w:highlight w:val="none"/>
          <w:shd w:fill="auto" w:val="clear"/>
        </w:rPr>
      </w:pPr>
      <w:r>
        <w:rPr>
          <w:shd w:fill="auto" w:val="clear"/>
        </w:rPr>
        <w:t>12.2.3</w:t>
        <w:tab/>
        <w:t>Capacity-providing entities:</w:t>
      </w:r>
    </w:p>
    <w:p>
      <w:pPr>
        <w:pStyle w:val="Normal"/>
        <w:ind w:left="851"/>
        <w:rPr>
          <w:highlight w:val="none"/>
          <w:shd w:fill="auto" w:val="clear"/>
        </w:rPr>
      </w:pPr>
      <w:r>
        <w:rPr>
          <w:shd w:fill="auto" w:val="clear"/>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pPr>
        <w:pStyle w:val="Normal"/>
        <w:ind w:left="851"/>
        <w:rPr>
          <w:highlight w:val="none"/>
          <w:shd w:fill="auto" w:val="clear"/>
        </w:rPr>
      </w:pPr>
      <w:r>
        <w:rPr>
          <w:shd w:fill="auto" w:val="clear"/>
        </w:rPr>
        <w:t>With regard to technical and professional criteria, a tenderer may only rely on the capacities of other entities where the latter will perform the works for which these capacities are required.</w:t>
      </w:r>
    </w:p>
    <w:p>
      <w:pPr>
        <w:pStyle w:val="Normal"/>
        <w:ind w:left="851"/>
        <w:rPr>
          <w:highlight w:val="none"/>
          <w:shd w:fill="auto" w:val="clear"/>
        </w:rPr>
      </w:pPr>
      <w:r>
        <w:rPr>
          <w:shd w:fill="auto" w:val="clear"/>
        </w:rPr>
        <w:t>With regard to economic and financial criteria, the entities upon whose capacity the tenderer relies, become jointly and severally liable for the performance of the contract.</w:t>
      </w:r>
    </w:p>
    <w:p>
      <w:pPr>
        <w:pStyle w:val="Heading3"/>
        <w:rPr>
          <w:highlight w:val="none"/>
          <w:shd w:fill="auto" w:val="clear"/>
        </w:rPr>
      </w:pPr>
      <w:r>
        <w:rPr>
          <w:shd w:fill="auto" w:val="clear"/>
        </w:rPr>
        <w:t>Tenders submitted by companies in partnerships forming a joint venture/consortium must also fulfil the following requirements:</w:t>
      </w:r>
    </w:p>
    <w:p>
      <w:pPr>
        <w:pStyle w:val="Normal"/>
        <w:numPr>
          <w:ilvl w:val="0"/>
          <w:numId w:val="7"/>
        </w:numPr>
        <w:ind w:hanging="284" w:left="1134"/>
        <w:rPr>
          <w:highlight w:val="none"/>
          <w:shd w:fill="auto" w:val="clear"/>
        </w:rPr>
      </w:pPr>
      <w:r>
        <w:rPr>
          <w:shd w:fill="auto" w:val="clear"/>
        </w:rPr>
        <w:t>The tender must include all the information required in 12.1 above for each member of the joint venture/consortium and summary data for execution of works by the tenderer.</w:t>
      </w:r>
    </w:p>
    <w:p>
      <w:pPr>
        <w:pStyle w:val="Normal"/>
        <w:numPr>
          <w:ilvl w:val="0"/>
          <w:numId w:val="7"/>
        </w:numPr>
        <w:ind w:hanging="284" w:left="1134"/>
        <w:rPr>
          <w:highlight w:val="none"/>
          <w:shd w:fill="auto" w:val="clear"/>
        </w:rPr>
      </w:pPr>
      <w:r>
        <w:rPr>
          <w:shd w:fill="auto" w:val="clear"/>
        </w:rPr>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pPr>
        <w:pStyle w:val="Normal"/>
        <w:numPr>
          <w:ilvl w:val="0"/>
          <w:numId w:val="7"/>
        </w:numPr>
        <w:ind w:hanging="284" w:left="1134"/>
        <w:rPr>
          <w:highlight w:val="none"/>
          <w:shd w:fill="auto" w:val="clear"/>
        </w:rPr>
      </w:pPr>
      <w:r>
        <w:rPr>
          <w:shd w:fill="auto" w:val="clear"/>
        </w:rPr>
        <w:t>All members of the joint venture/consortium are bound to remain in the joint venture/consortium for the whole execution period of the contract. See the declaration in the tender form.</w:t>
      </w:r>
    </w:p>
    <w:p>
      <w:pPr>
        <w:pStyle w:val="Normal"/>
        <w:rPr>
          <w:highlight w:val="none"/>
          <w:shd w:fill="auto" w:val="clear"/>
        </w:rPr>
      </w:pPr>
      <w:r>
        <w:rPr>
          <w:shd w:fill="auto" w:val="clear"/>
        </w:rPr>
        <w:t>Documentary evidence of financial and economic standing and technical and professional capacity, referred to in 12.2 of these instructions to tenderers, is not obligatory for tenders below EUR 5 000 000. However, it is obligatory if a pre-financing payment is requested.</w:t>
      </w:r>
    </w:p>
    <w:p>
      <w:pPr>
        <w:pStyle w:val="Heading2"/>
        <w:numPr>
          <w:ilvl w:val="1"/>
          <w:numId w:val="1"/>
        </w:numPr>
        <w:rPr>
          <w:highlight w:val="none"/>
          <w:shd w:fill="auto" w:val="clear"/>
        </w:rPr>
      </w:pPr>
      <w:bookmarkStart w:id="20" w:name="_Toc185006575"/>
      <w:r>
        <w:rPr>
          <w:shd w:fill="auto" w:val="clear"/>
        </w:rPr>
        <w:t>TENDER PRICES</w:t>
      </w:r>
      <w:bookmarkEnd w:id="20"/>
    </w:p>
    <w:p>
      <w:pPr>
        <w:pStyle w:val="Heading3"/>
        <w:rPr>
          <w:highlight w:val="none"/>
          <w:shd w:fill="auto" w:val="clear"/>
        </w:rPr>
      </w:pPr>
      <w:r>
        <w:rPr>
          <w:shd w:fill="auto" w:val="clear"/>
        </w:rPr>
        <w:t>The currency of the tender is the EUR.</w:t>
      </w:r>
    </w:p>
    <w:p>
      <w:pPr>
        <w:pStyle w:val="Heading3"/>
        <w:rPr>
          <w:highlight w:val="none"/>
          <w:shd w:fill="auto" w:val="clear"/>
        </w:rPr>
      </w:pPr>
      <w:r>
        <w:rPr>
          <w:shd w:fill="auto" w:val="clear"/>
        </w:rPr>
        <w:t>The tenderer must provide breakdown of the lump-sum price in euro.The tender price must cover all works as described in the tender documents. All sums in breakdown of the lump-sum price, the questionnaire and other documents must also be expressed in this currency, with the exception of originals of bank and annual financial statements.</w:t>
      </w:r>
    </w:p>
    <w:p>
      <w:pPr>
        <w:pStyle w:val="Heading3"/>
        <w:rPr>
          <w:highlight w:val="none"/>
          <w:shd w:fill="auto" w:val="clear"/>
        </w:rPr>
      </w:pPr>
      <w:r>
        <w:rPr>
          <w:shd w:fill="auto" w:val="clear"/>
        </w:rPr>
        <w:t xml:space="preserve">Tenderers must quote all components of breakdown of the lump-sum price. No payment will be made for items which have not been costed; such items will be deemed to be covered by other items on the breakdown of the lump-sum price.  </w:t>
      </w:r>
    </w:p>
    <w:p>
      <w:pPr>
        <w:pStyle w:val="Heading3"/>
        <w:rPr>
          <w:highlight w:val="none"/>
          <w:shd w:fill="auto" w:val="clear"/>
        </w:rPr>
      </w:pPr>
      <w:r>
        <w:rPr>
          <w:shd w:fill="auto" w:val="clear"/>
        </w:rPr>
        <w:t>If a discount is offered by the tenderer, it must be clearly specified in breakdown of the lump-sum price in Volume 4 and indicated in the tender form in Volume 1, Section 1.2. The discount must be quoted for all works.</w:t>
      </w:r>
    </w:p>
    <w:p>
      <w:pPr>
        <w:pStyle w:val="Heading3"/>
        <w:rPr>
          <w:highlight w:val="none"/>
          <w:shd w:fill="auto" w:val="clear"/>
        </w:rPr>
      </w:pPr>
      <w:r>
        <w:rPr>
          <w:shd w:fill="auto" w:val="clear"/>
        </w:rPr>
        <w:t>If the tenderer offers a discount, the discount must be included on each interim payment certificate and calculated on the same basis as in the tender.</w:t>
      </w:r>
    </w:p>
    <w:p>
      <w:pPr>
        <w:pStyle w:val="Heading2"/>
        <w:numPr>
          <w:ilvl w:val="1"/>
          <w:numId w:val="1"/>
        </w:numPr>
        <w:rPr>
          <w:highlight w:val="none"/>
          <w:shd w:fill="auto" w:val="clear"/>
        </w:rPr>
      </w:pPr>
      <w:bookmarkStart w:id="21" w:name="_Toc185006576"/>
      <w:r>
        <w:rPr>
          <w:shd w:fill="auto" w:val="clear"/>
        </w:rPr>
        <w:t>PERIOD OF VALIDITY OF TENDERS</w:t>
      </w:r>
      <w:bookmarkEnd w:id="21"/>
    </w:p>
    <w:p>
      <w:pPr>
        <w:pStyle w:val="Heading3"/>
        <w:rPr>
          <w:highlight w:val="none"/>
          <w:shd w:fill="auto" w:val="clear"/>
        </w:rPr>
      </w:pPr>
      <w:r>
        <w:rPr>
          <w:shd w:fill="auto" w:val="clear"/>
        </w:rPr>
        <w:t>Tenders must remain valid for a period of 90 days after the deadline for submitting tenders indicated in the contract notice, the invitation to tender or as amended in accordance with Clauses 9 and/or 18.</w:t>
      </w:r>
    </w:p>
    <w:p>
      <w:pPr>
        <w:pStyle w:val="Heading3"/>
        <w:rPr>
          <w:highlight w:val="none"/>
          <w:shd w:fill="auto" w:val="clear"/>
        </w:rPr>
      </w:pPr>
      <w:r>
        <w:rPr>
          <w:shd w:fill="auto" w:val="clear"/>
        </w:rP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2.4.2.1. of the practical guide, the contracting authority may request an extension of the validity of the tenders up to the adoption of that recommendation.</w:t>
      </w:r>
    </w:p>
    <w:p>
      <w:pPr>
        <w:pStyle w:val="Heading3"/>
        <w:rPr>
          <w:highlight w:val="none"/>
          <w:shd w:fill="auto" w:val="clear"/>
        </w:rPr>
      </w:pPr>
      <w:r>
        <w:rPr>
          <w:shd w:fill="auto" w:val="clear"/>
        </w:rPr>
        <w:t>The successful tenderer must maintain its tender for a further 60 days. This period is in addition to the validity period, irrespective of the date of notification.</w:t>
      </w:r>
    </w:p>
    <w:p>
      <w:pPr>
        <w:pStyle w:val="Heading2"/>
        <w:numPr>
          <w:ilvl w:val="1"/>
          <w:numId w:val="1"/>
        </w:numPr>
        <w:rPr>
          <w:highlight w:val="none"/>
          <w:shd w:fill="auto" w:val="clear"/>
        </w:rPr>
      </w:pPr>
      <w:bookmarkStart w:id="22" w:name="_Toc185006577"/>
      <w:r>
        <w:rPr>
          <w:shd w:fill="auto" w:val="clear"/>
        </w:rPr>
        <w:t>TENDER GUARANTEE</w:t>
      </w:r>
      <w:bookmarkEnd w:id="22"/>
    </w:p>
    <w:p>
      <w:pPr>
        <w:pStyle w:val="Normal"/>
        <w:spacing w:before="0" w:after="0"/>
        <w:rPr>
          <w:highlight w:val="none"/>
          <w:shd w:fill="auto" w:val="clear"/>
        </w:rPr>
      </w:pPr>
      <w:r>
        <w:rPr>
          <w:shd w:fill="auto" w:val="clear"/>
        </w:rPr>
        <w:t>No tender guarantee is required.</w:t>
      </w:r>
    </w:p>
    <w:p>
      <w:pPr>
        <w:pStyle w:val="Heading2"/>
        <w:numPr>
          <w:ilvl w:val="1"/>
          <w:numId w:val="1"/>
        </w:numPr>
        <w:rPr>
          <w:highlight w:val="none"/>
          <w:shd w:fill="auto" w:val="clear"/>
        </w:rPr>
      </w:pPr>
      <w:bookmarkStart w:id="23" w:name="_Toc185006578"/>
      <w:r>
        <w:rPr>
          <w:shd w:fill="auto" w:val="clear"/>
        </w:rPr>
        <w:t>VARIANT SOLUTIONS</w:t>
      </w:r>
      <w:bookmarkEnd w:id="23"/>
    </w:p>
    <w:p>
      <w:pPr>
        <w:pStyle w:val="Normal"/>
        <w:spacing w:before="0" w:after="0"/>
        <w:rPr>
          <w:highlight w:val="none"/>
          <w:shd w:fill="auto" w:val="clear"/>
        </w:rPr>
      </w:pPr>
      <w:r>
        <w:rPr>
          <w:shd w:fill="auto" w:val="clear"/>
        </w:rPr>
        <w:t>Variant solutions will not be taken into consideration.</w:t>
      </w:r>
    </w:p>
    <w:p>
      <w:pPr>
        <w:pStyle w:val="Heading1"/>
        <w:rPr>
          <w:highlight w:val="none"/>
          <w:shd w:fill="auto" w:val="clear"/>
        </w:rPr>
      </w:pPr>
      <w:bookmarkStart w:id="24" w:name="_Toc185006579"/>
      <w:r>
        <w:rPr>
          <w:shd w:fill="auto" w:val="clear"/>
        </w:rPr>
        <w:t>SUBMISSION OF TENDERS</w:t>
      </w:r>
      <w:bookmarkEnd w:id="24"/>
    </w:p>
    <w:p>
      <w:pPr>
        <w:pStyle w:val="Heading2"/>
        <w:numPr>
          <w:ilvl w:val="1"/>
          <w:numId w:val="1"/>
        </w:numPr>
        <w:rPr>
          <w:highlight w:val="none"/>
          <w:shd w:fill="auto" w:val="clear"/>
        </w:rPr>
      </w:pPr>
      <w:r>
        <w:rPr>
          <w:shd w:fill="auto" w:val="clear"/>
        </w:rPr>
        <w:tab/>
      </w:r>
      <w:bookmarkStart w:id="25" w:name="_Toc185006580"/>
      <w:r>
        <w:rPr>
          <w:shd w:fill="auto" w:val="clear"/>
        </w:rPr>
        <w:t>SUBMITTING TENDERS</w:t>
      </w:r>
      <w:bookmarkEnd w:id="25"/>
    </w:p>
    <w:p>
      <w:pPr>
        <w:pStyle w:val="Heading3"/>
        <w:tabs>
          <w:tab w:val="clear" w:pos="720"/>
          <w:tab w:val="left" w:pos="0" w:leader="none"/>
        </w:tabs>
        <w:spacing w:lineRule="atLeast" w:line="240"/>
        <w:rPr/>
      </w:pPr>
      <w:r>
        <w:rPr>
          <w:rStyle w:val="Strong"/>
          <w:b w:val="false"/>
          <w:shd w:fill="auto" w:val="clear"/>
        </w:rPr>
        <w:t>In order</w:t>
      </w:r>
      <w:r>
        <w:rPr>
          <w:rStyle w:val="Strong"/>
          <w:shd w:fill="auto" w:val="clear"/>
        </w:rPr>
        <w:t xml:space="preserve"> </w:t>
      </w:r>
      <w:r>
        <w:rPr>
          <w:rStyle w:val="Strong"/>
          <w:b w:val="false"/>
          <w:bCs/>
          <w:shd w:fill="auto" w:val="clear"/>
        </w:rPr>
        <w:t>to participate, economic operators will not need to register</w:t>
      </w:r>
      <w:r>
        <w:rPr>
          <w:rStyle w:val="Strong"/>
          <w:shd w:fill="auto" w:val="clear"/>
        </w:rPr>
        <w:t xml:space="preserve"> </w:t>
      </w:r>
      <w:r>
        <w:rPr>
          <w:rStyle w:val="Strong"/>
          <w:b w:val="false"/>
          <w:bCs/>
          <w:shd w:fill="auto" w:val="clear"/>
        </w:rPr>
        <w:t>in the</w:t>
      </w:r>
      <w:r>
        <w:rPr>
          <w:rStyle w:val="Strong"/>
          <w:shd w:fill="auto" w:val="clear"/>
        </w:rPr>
        <w:t xml:space="preserve"> </w:t>
      </w:r>
      <w:r>
        <w:rPr>
          <w:shd w:fill="auto" w:val="clear"/>
        </w:rPr>
        <w:t>European Commission's</w:t>
      </w:r>
      <w:r>
        <w:rPr>
          <w:i/>
          <w:shd w:fill="auto" w:val="clear"/>
        </w:rPr>
        <w:t xml:space="preserve"> </w:t>
      </w:r>
      <w:hyperlink r:id="rId7">
        <w:r>
          <w:rPr>
            <w:rStyle w:val="Hyperlink"/>
            <w:shd w:fill="auto" w:val="clear"/>
          </w:rPr>
          <w:t>Participant Register</w:t>
        </w:r>
      </w:hyperlink>
      <w:r>
        <w:rPr>
          <w:i/>
          <w:shd w:fill="auto" w:val="clear"/>
        </w:rPr>
        <w:t xml:space="preserve"> </w:t>
      </w:r>
      <w:r>
        <w:rPr>
          <w:shd w:fill="auto" w:val="clear"/>
        </w:rPr>
        <w:t>- an online register of organisations participating in EU calls for tenders or</w:t>
      </w:r>
      <w:r>
        <w:rPr>
          <w:i/>
          <w:shd w:fill="auto" w:val="clear"/>
        </w:rPr>
        <w:t xml:space="preserve"> </w:t>
      </w:r>
      <w:r>
        <w:rPr>
          <w:shd w:fill="auto" w:val="clear"/>
        </w:rPr>
        <w:t xml:space="preserve">proposals (PIC registration). Therefore the PIC number will not need to be filled in in the tender form (Annex d4c). </w:t>
      </w:r>
    </w:p>
    <w:p>
      <w:pPr>
        <w:pStyle w:val="Heading3"/>
        <w:rPr>
          <w:highlight w:val="none"/>
          <w:shd w:fill="auto" w:val="clear"/>
        </w:rPr>
      </w:pPr>
      <w:r>
        <w:rPr>
          <w:shd w:fill="auto" w:val="clear"/>
        </w:rPr>
        <w:t xml:space="preserve">The complete tender must be submitted in one original, clearly marked ‘original’ and one copy, clearly marked ‘copy’. In the event of any discrepancy between them, the original will prevail. </w:t>
      </w:r>
      <w:r>
        <w:rPr>
          <w:szCs w:val="24"/>
          <w:shd w:fill="auto" w:val="clear"/>
        </w:rPr>
        <w:t>Additionally, the tenderers should provide electronic version of the financial offer (CD or USB).</w:t>
      </w:r>
      <w:r>
        <w:rPr>
          <w:shd w:fill="auto" w:val="clear"/>
        </w:rPr>
        <w:t xml:space="preserve"> </w:t>
      </w:r>
      <w:bookmarkStart w:id="26" w:name="_Hlk184642011"/>
      <w:bookmarkEnd w:id="26"/>
    </w:p>
    <w:p>
      <w:pPr>
        <w:pStyle w:val="Heading3"/>
        <w:rPr>
          <w:highlight w:val="none"/>
          <w:shd w:fill="auto" w:val="clear"/>
        </w:rPr>
      </w:pPr>
      <w:r>
        <w:rPr>
          <w:shd w:fill="auto" w:val="clear"/>
        </w:rPr>
        <w:t>The technical and financial offers must be placed together in a sealed envelope. The envelopes should then be placed in another sealed envelope/package, unless their volume requires a separate submission for each lot.</w:t>
      </w:r>
    </w:p>
    <w:p>
      <w:pPr>
        <w:pStyle w:val="Heading3"/>
        <w:rPr>
          <w:highlight w:val="none"/>
          <w:shd w:fill="auto" w:val="clear"/>
        </w:rPr>
      </w:pPr>
      <w:r>
        <w:rPr>
          <w:shd w:fill="auto" w:val="clear"/>
        </w:rPr>
        <w:t>All tenders must be sent to the contracting authority before the deadline set in the contract notice.</w:t>
      </w:r>
    </w:p>
    <w:p>
      <w:pPr>
        <w:pStyle w:val="Normal"/>
        <w:rPr>
          <w:highlight w:val="none"/>
          <w:shd w:fill="auto" w:val="clear"/>
        </w:rPr>
      </w:pPr>
      <w:r>
        <w:rPr>
          <w:shd w:fill="auto" w:val="clear"/>
        </w:rPr>
        <w:t xml:space="preserve">Participants may choose to submit their tender : </w:t>
      </w:r>
    </w:p>
    <w:p>
      <w:pPr>
        <w:pStyle w:val="Normal"/>
        <w:ind w:hanging="425" w:left="1134"/>
        <w:rPr>
          <w:highlight w:val="none"/>
          <w:shd w:fill="auto" w:val="clear"/>
        </w:rPr>
      </w:pPr>
      <w:r>
        <w:rPr>
          <w:shd w:fill="auto" w:val="clear"/>
        </w:rPr>
        <w:t>(a)</w:t>
        <w:tab/>
        <w:t>either by post or by courier service, in which case the evidence shall be constituted by the postmark or the date of the deposit slip</w:t>
      </w:r>
      <w:r>
        <w:rPr>
          <w:rStyle w:val="FootnoteReference"/>
          <w:shd w:fill="auto" w:val="clear"/>
        </w:rPr>
        <w:footnoteReference w:id="4"/>
      </w:r>
      <w:r>
        <w:rPr>
          <w:shd w:fill="auto" w:val="clear"/>
        </w:rPr>
        <w:t>. In such case, the tender must be sent to the following address:</w:t>
      </w:r>
    </w:p>
    <w:p>
      <w:pPr>
        <w:pStyle w:val="Normal"/>
        <w:ind w:left="1134"/>
        <w:jc w:val="center"/>
        <w:rPr>
          <w:highlight w:val="none"/>
          <w:shd w:fill="auto" w:val="clear"/>
        </w:rPr>
      </w:pPr>
      <w:r>
        <w:rPr>
          <w:b/>
          <w:szCs w:val="24"/>
          <w:shd w:fill="auto" w:val="clear"/>
        </w:rPr>
        <w:t>Municipality of Kriva Palanka,</w:t>
      </w:r>
    </w:p>
    <w:p>
      <w:pPr>
        <w:pStyle w:val="Normal"/>
        <w:ind w:left="1134"/>
        <w:jc w:val="center"/>
        <w:rPr>
          <w:highlight w:val="none"/>
          <w:shd w:fill="auto" w:val="clear"/>
        </w:rPr>
      </w:pPr>
      <w:r>
        <w:rPr>
          <w:b/>
          <w:szCs w:val="24"/>
          <w:shd w:fill="auto" w:val="clear"/>
        </w:rPr>
        <w:t>Adress: St Joachim Osogovski street 175, 1330 Kriva Palanka ,</w:t>
      </w:r>
    </w:p>
    <w:p>
      <w:pPr>
        <w:pStyle w:val="Normal"/>
        <w:ind w:left="1134"/>
        <w:jc w:val="center"/>
        <w:rPr>
          <w:highlight w:val="none"/>
          <w:shd w:fill="auto" w:val="clear"/>
        </w:rPr>
      </w:pPr>
      <w:r>
        <w:rPr>
          <w:b/>
          <w:szCs w:val="24"/>
          <w:shd w:fill="auto" w:val="clear"/>
        </w:rPr>
        <w:t>Republic of North Macedonia</w:t>
      </w:r>
    </w:p>
    <w:p>
      <w:pPr>
        <w:pStyle w:val="Normal"/>
        <w:ind w:hanging="425" w:left="1134"/>
        <w:rPr>
          <w:highlight w:val="none"/>
          <w:shd w:fill="auto" w:val="clear"/>
        </w:rPr>
      </w:pPr>
      <w:r>
        <w:rPr>
          <w:shd w:fill="auto" w:val="clear"/>
        </w:rPr>
        <w:t xml:space="preserve"> </w:t>
      </w:r>
      <w:r>
        <w:rPr>
          <w:shd w:fill="auto" w:val="clear"/>
        </w:rPr>
        <w:t>(b)</w:t>
        <w:tab/>
        <w:t>or by hand-delivery to the premises of the contracting authority  by the participant in person or by an agent, in which case the evidence shall be constituted by acknowledgment of receipt.  If tenders are hand delivered they should be delivered to the following address:</w:t>
      </w:r>
    </w:p>
    <w:p>
      <w:pPr>
        <w:pStyle w:val="Normal"/>
        <w:ind w:left="1134"/>
        <w:jc w:val="center"/>
        <w:rPr>
          <w:highlight w:val="none"/>
          <w:shd w:fill="auto" w:val="clear"/>
        </w:rPr>
      </w:pPr>
      <w:r>
        <w:rPr>
          <w:b/>
          <w:szCs w:val="24"/>
          <w:shd w:fill="auto" w:val="clear"/>
        </w:rPr>
        <w:t>Municipality of Kriva Palanka,</w:t>
      </w:r>
    </w:p>
    <w:p>
      <w:pPr>
        <w:pStyle w:val="Normal"/>
        <w:ind w:left="1134"/>
        <w:jc w:val="center"/>
        <w:rPr>
          <w:highlight w:val="none"/>
          <w:shd w:fill="auto" w:val="clear"/>
        </w:rPr>
      </w:pPr>
      <w:r>
        <w:rPr>
          <w:b/>
          <w:szCs w:val="24"/>
          <w:shd w:fill="auto" w:val="clear"/>
        </w:rPr>
        <w:t>Adress: St Joachim Osogovski street 175, 1330 Kriva Palanka ,</w:t>
      </w:r>
    </w:p>
    <w:p>
      <w:pPr>
        <w:pStyle w:val="Normal"/>
        <w:ind w:left="1134"/>
        <w:jc w:val="center"/>
        <w:rPr>
          <w:highlight w:val="none"/>
          <w:shd w:fill="auto" w:val="clear"/>
        </w:rPr>
      </w:pPr>
      <w:r>
        <w:rPr>
          <w:b/>
          <w:szCs w:val="24"/>
          <w:shd w:fill="auto" w:val="clear"/>
        </w:rPr>
        <w:t>Republic of North Macedonia</w:t>
      </w:r>
    </w:p>
    <w:p>
      <w:pPr>
        <w:pStyle w:val="Normal"/>
        <w:rPr>
          <w:highlight w:val="none"/>
          <w:shd w:fill="auto" w:val="clear"/>
        </w:rPr>
      </w:pPr>
      <w:r>
        <w:rPr>
          <w:shd w:fill="auto" w:val="clear"/>
        </w:rPr>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pPr>
        <w:pStyle w:val="Heading3"/>
        <w:rPr>
          <w:highlight w:val="none"/>
          <w:shd w:fill="auto" w:val="clear"/>
        </w:rPr>
      </w:pPr>
      <w:r>
        <w:rPr>
          <w:shd w:fill="auto" w:val="clear"/>
        </w:rPr>
        <w:t>Tenders, including annexes and all supporting documents, must be submitted in a sealed envelope bearing only:</w:t>
      </w:r>
    </w:p>
    <w:p>
      <w:pPr>
        <w:pStyle w:val="Normal"/>
        <w:numPr>
          <w:ilvl w:val="0"/>
          <w:numId w:val="8"/>
        </w:numPr>
        <w:ind w:hanging="360" w:left="1276"/>
        <w:rPr>
          <w:highlight w:val="none"/>
          <w:shd w:fill="auto" w:val="clear"/>
        </w:rPr>
      </w:pPr>
      <w:r>
        <w:rPr>
          <w:shd w:fill="auto" w:val="clear"/>
        </w:rPr>
        <w:t>the above address;</w:t>
      </w:r>
    </w:p>
    <w:p>
      <w:pPr>
        <w:pStyle w:val="Normal"/>
        <w:numPr>
          <w:ilvl w:val="0"/>
          <w:numId w:val="8"/>
        </w:numPr>
        <w:ind w:hanging="360" w:left="1276"/>
        <w:rPr/>
      </w:pPr>
      <w:r>
        <w:rPr>
          <w:shd w:fill="auto" w:val="clear"/>
        </w:rPr>
        <w:t xml:space="preserve">the reference code of this tender procedure, (i.e. </w:t>
      </w:r>
      <w:r>
        <w:rPr>
          <w:szCs w:val="22"/>
          <w:shd w:fill="auto" w:val="clear"/>
        </w:rPr>
        <w:t>Adventure</w:t>
      </w:r>
      <w:r>
        <w:rPr>
          <w:rStyle w:val="Emphasis"/>
          <w:shd w:fill="auto" w:val="clear"/>
        </w:rPr>
        <w:t xml:space="preserve"> </w:t>
      </w:r>
      <w:r>
        <w:rPr>
          <w:rStyle w:val="Emphasis"/>
          <w:i w:val="false"/>
          <w:shd w:fill="auto" w:val="clear"/>
        </w:rPr>
        <w:t>Park 01-02</w:t>
      </w:r>
      <w:r>
        <w:rPr>
          <w:shd w:fill="auto" w:val="clear"/>
        </w:rPr>
        <w:t>);</w:t>
      </w:r>
    </w:p>
    <w:p>
      <w:pPr>
        <w:pStyle w:val="Normal"/>
        <w:numPr>
          <w:ilvl w:val="0"/>
          <w:numId w:val="8"/>
        </w:numPr>
        <w:ind w:hanging="360" w:left="1276"/>
        <w:rPr>
          <w:highlight w:val="none"/>
          <w:shd w:fill="auto" w:val="clear"/>
        </w:rPr>
      </w:pPr>
      <w:r>
        <w:rPr>
          <w:shd w:fill="auto" w:val="clear"/>
        </w:rPr>
        <w:t xml:space="preserve">the words ‘Not to be opened before the tender opening session’ in the language of the tender dossier and </w:t>
      </w:r>
      <w:r>
        <w:rPr>
          <w:szCs w:val="24"/>
          <w:shd w:fill="auto" w:val="clear"/>
          <w:lang w:val="en-IE"/>
        </w:rPr>
        <w:t>‘Да не се отвара пред денот на отварање на понудите’;</w:t>
      </w:r>
    </w:p>
    <w:p>
      <w:pPr>
        <w:pStyle w:val="Normal"/>
        <w:numPr>
          <w:ilvl w:val="0"/>
          <w:numId w:val="8"/>
        </w:numPr>
        <w:ind w:hanging="360" w:left="1276"/>
        <w:rPr>
          <w:highlight w:val="none"/>
          <w:shd w:fill="auto" w:val="clear"/>
        </w:rPr>
      </w:pPr>
      <w:r>
        <w:rPr>
          <w:shd w:fill="auto" w:val="clear"/>
        </w:rPr>
        <w:t>the name of the tenderer.</w:t>
      </w:r>
    </w:p>
    <w:p>
      <w:pPr>
        <w:pStyle w:val="Heading2"/>
        <w:numPr>
          <w:ilvl w:val="1"/>
          <w:numId w:val="1"/>
        </w:numPr>
        <w:rPr>
          <w:highlight w:val="none"/>
          <w:shd w:fill="auto" w:val="clear"/>
        </w:rPr>
      </w:pPr>
      <w:bookmarkStart w:id="27" w:name="_Toc185006581"/>
      <w:r>
        <w:rPr>
          <w:shd w:fill="auto" w:val="clear"/>
        </w:rPr>
        <w:t>EXTENSION OF THE DEADLINE FOR SUBMITTING TENDERS</w:t>
      </w:r>
      <w:bookmarkEnd w:id="27"/>
    </w:p>
    <w:p>
      <w:pPr>
        <w:pStyle w:val="Normal"/>
        <w:rPr>
          <w:highlight w:val="none"/>
          <w:shd w:fill="auto" w:val="clear"/>
        </w:rPr>
      </w:pPr>
      <w:r>
        <w:rPr>
          <w:shd w:fill="auto" w:val="clear"/>
        </w:rP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pPr>
        <w:pStyle w:val="Heading2"/>
        <w:numPr>
          <w:ilvl w:val="1"/>
          <w:numId w:val="1"/>
        </w:numPr>
        <w:rPr>
          <w:highlight w:val="none"/>
          <w:shd w:fill="auto" w:val="clear"/>
        </w:rPr>
      </w:pPr>
      <w:r>
        <w:rPr>
          <w:shd w:fill="auto" w:val="clear"/>
        </w:rPr>
        <w:tab/>
      </w:r>
      <w:bookmarkStart w:id="28" w:name="_Toc185006582"/>
      <w:r>
        <w:rPr>
          <w:shd w:fill="auto" w:val="clear"/>
        </w:rPr>
        <w:t>LATE TENDERS</w:t>
      </w:r>
      <w:bookmarkEnd w:id="28"/>
    </w:p>
    <w:p>
      <w:pPr>
        <w:pStyle w:val="Heading3"/>
        <w:rPr>
          <w:highlight w:val="none"/>
          <w:shd w:fill="auto" w:val="clear"/>
        </w:rPr>
      </w:pPr>
      <w:r>
        <w:rPr>
          <w:shd w:fill="auto" w:val="clear"/>
        </w:rPr>
        <w:t xml:space="preserve">All tenders submitted after the deadline for submission specified in the contract notice or these instructions will be kept by the contracting authority. The guarantees will be returned to the tenderers. </w:t>
      </w:r>
    </w:p>
    <w:p>
      <w:pPr>
        <w:pStyle w:val="Heading3"/>
        <w:rPr>
          <w:highlight w:val="none"/>
          <w:shd w:fill="auto" w:val="clear"/>
        </w:rPr>
      </w:pPr>
      <w:r>
        <w:rPr>
          <w:shd w:fill="auto" w:val="clear"/>
        </w:rPr>
        <w:t>No liability can be accepted for late delivery of tenders. Late tenders will be rejected and will not be evaluated.</w:t>
      </w:r>
    </w:p>
    <w:p>
      <w:pPr>
        <w:pStyle w:val="Heading2"/>
        <w:numPr>
          <w:ilvl w:val="1"/>
          <w:numId w:val="1"/>
        </w:numPr>
        <w:rPr>
          <w:highlight w:val="none"/>
          <w:shd w:fill="auto" w:val="clear"/>
        </w:rPr>
      </w:pPr>
      <w:r>
        <w:rPr>
          <w:shd w:fill="auto" w:val="clear"/>
        </w:rPr>
        <w:tab/>
      </w:r>
      <w:bookmarkStart w:id="29" w:name="_Toc185006583"/>
      <w:r>
        <w:rPr>
          <w:shd w:fill="auto" w:val="clear"/>
        </w:rPr>
        <w:t>ALTERING AND WITHDRAWING TENDERS</w:t>
      </w:r>
      <w:bookmarkEnd w:id="29"/>
    </w:p>
    <w:p>
      <w:pPr>
        <w:pStyle w:val="Normal"/>
        <w:rPr>
          <w:highlight w:val="none"/>
          <w:shd w:fill="auto" w:val="clear"/>
        </w:rPr>
      </w:pPr>
      <w:r>
        <w:rPr>
          <w:shd w:fill="auto" w:val="clear"/>
        </w:rPr>
        <w:t>Tenderers may alter or withdraw their tenders by written notification prior to the above deadline. No tender may be altered after the deadline for submission. Withdrawals must be unconditional and will end all participation in the tender procedure</w:t>
      </w:r>
    </w:p>
    <w:p>
      <w:pPr>
        <w:pStyle w:val="Heading3"/>
        <w:rPr>
          <w:highlight w:val="none"/>
          <w:shd w:fill="auto" w:val="clear"/>
        </w:rPr>
      </w:pPr>
      <w:r>
        <w:rPr>
          <w:shd w:fill="auto" w:val="clear"/>
        </w:rPr>
        <w:t>Any notification of alteration or withdrawal must be prepared and submitted in accordance with Clause 17, and the envelope must be marked ‘alteration’ or ‘withdrawal’, as appropriate.</w:t>
      </w:r>
    </w:p>
    <w:p>
      <w:pPr>
        <w:pStyle w:val="Heading3"/>
        <w:rPr>
          <w:highlight w:val="none"/>
          <w:shd w:fill="auto" w:val="clear"/>
        </w:rPr>
      </w:pPr>
      <w:r>
        <w:rPr>
          <w:shd w:fill="auto" w:val="clear"/>
        </w:rPr>
        <w:t>Withdrawal of a tender in the period between the deadline for submission and the date of expiry of the validity of the tender will result in forfeiture of the tender guarantee.</w:t>
      </w:r>
    </w:p>
    <w:p>
      <w:pPr>
        <w:pStyle w:val="Heading1"/>
        <w:rPr>
          <w:highlight w:val="none"/>
          <w:shd w:fill="auto" w:val="clear"/>
        </w:rPr>
      </w:pPr>
      <w:bookmarkStart w:id="30" w:name="_Toc185006584"/>
      <w:r>
        <w:rPr>
          <w:shd w:fill="auto" w:val="clear"/>
        </w:rPr>
        <w:t>OPENING AND EVALUATING TENDERS</w:t>
      </w:r>
      <w:bookmarkEnd w:id="30"/>
    </w:p>
    <w:p>
      <w:pPr>
        <w:pStyle w:val="Heading2"/>
        <w:numPr>
          <w:ilvl w:val="1"/>
          <w:numId w:val="1"/>
        </w:numPr>
        <w:rPr>
          <w:highlight w:val="none"/>
          <w:shd w:fill="auto" w:val="clear"/>
        </w:rPr>
      </w:pPr>
      <w:r>
        <w:rPr>
          <w:shd w:fill="auto" w:val="clear"/>
        </w:rPr>
        <w:tab/>
      </w:r>
      <w:bookmarkStart w:id="31" w:name="_Toc185006585"/>
      <w:r>
        <w:rPr>
          <w:shd w:fill="auto" w:val="clear"/>
        </w:rPr>
        <w:t>OPENING TENDERS</w:t>
      </w:r>
      <w:bookmarkEnd w:id="31"/>
    </w:p>
    <w:p>
      <w:pPr>
        <w:pStyle w:val="Heading3"/>
        <w:rPr>
          <w:highlight w:val="none"/>
          <w:shd w:fill="auto" w:val="clear"/>
        </w:rPr>
      </w:pPr>
      <w:r>
        <w:rPr>
          <w:shd w:fill="auto" w:val="clear"/>
        </w:rPr>
        <w:t>The purpose of opening and examining tenders is to check whether the tenders have been submitted in accordance with the submission requirements of the call for tenders.</w:t>
      </w:r>
    </w:p>
    <w:p>
      <w:pPr>
        <w:pStyle w:val="Heading3"/>
        <w:rPr>
          <w:highlight w:val="none"/>
          <w:shd w:fill="auto" w:val="clear"/>
        </w:rPr>
      </w:pPr>
      <w:r>
        <w:rPr>
          <w:shd w:fill="auto" w:val="clear"/>
        </w:rPr>
        <w:t>The opening session should be held at least one week after the deadline for submission of tenders.</w:t>
      </w:r>
    </w:p>
    <w:p>
      <w:pPr>
        <w:pStyle w:val="Normal"/>
        <w:rPr>
          <w:highlight w:val="none"/>
          <w:shd w:fill="auto" w:val="clear"/>
        </w:rPr>
      </w:pPr>
      <w:r>
        <w:rPr>
          <w:shd w:fill="auto" w:val="clear"/>
        </w:rPr>
        <w:t>The committee will draw up minutes of the meeting, which must be available to tenderers on request.</w:t>
      </w:r>
    </w:p>
    <w:p>
      <w:pPr>
        <w:pStyle w:val="Normal"/>
        <w:rPr>
          <w:highlight w:val="none"/>
          <w:shd w:fill="auto" w:val="clear"/>
        </w:rPr>
      </w:pPr>
      <w:r>
        <w:rPr>
          <w:shd w:fill="auto" w:val="clear"/>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pPr>
        <w:pStyle w:val="Heading3"/>
        <w:rPr>
          <w:highlight w:val="none"/>
          <w:shd w:fill="auto" w:val="clear"/>
        </w:rPr>
      </w:pPr>
      <w:r>
        <w:rPr>
          <w:shd w:fill="auto" w:val="clear"/>
        </w:rP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pPr>
        <w:pStyle w:val="Heading3"/>
        <w:rPr>
          <w:highlight w:val="none"/>
          <w:shd w:fill="auto" w:val="clear"/>
        </w:rPr>
      </w:pPr>
      <w:r>
        <w:rPr>
          <w:shd w:fill="auto" w:val="clear"/>
        </w:rPr>
        <w:t>After the public opening of the tenders, no information relating to the examination, clarification, evaluation or comparison of tenders or recommendations concerning the award of contract can be disclosed until after the contract has been awarded.</w:t>
      </w:r>
    </w:p>
    <w:p>
      <w:pPr>
        <w:pStyle w:val="Normal"/>
        <w:rPr>
          <w:highlight w:val="none"/>
          <w:shd w:fill="auto" w:val="clear"/>
        </w:rPr>
      </w:pPr>
      <w:r>
        <w:rPr>
          <w:shd w:fill="auto" w:val="clear"/>
        </w:rP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pPr>
        <w:pStyle w:val="Heading2"/>
        <w:numPr>
          <w:ilvl w:val="1"/>
          <w:numId w:val="1"/>
        </w:numPr>
        <w:rPr>
          <w:highlight w:val="none"/>
          <w:shd w:fill="auto" w:val="clear"/>
        </w:rPr>
      </w:pPr>
      <w:bookmarkStart w:id="32" w:name="_Toc185006586"/>
      <w:r>
        <w:rPr>
          <w:shd w:fill="auto" w:val="clear"/>
        </w:rPr>
        <w:t>EVALUATING TENDERS</w:t>
      </w:r>
      <w:bookmarkEnd w:id="32"/>
    </w:p>
    <w:p>
      <w:pPr>
        <w:pStyle w:val="Normal"/>
        <w:rPr>
          <w:highlight w:val="none"/>
          <w:shd w:fill="auto" w:val="clear"/>
        </w:rPr>
      </w:pPr>
      <w:r>
        <w:rPr>
          <w:shd w:fill="auto" w:val="clear"/>
        </w:rP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pPr>
        <w:pStyle w:val="Normal"/>
        <w:rPr>
          <w:highlight w:val="none"/>
          <w:shd w:fill="auto" w:val="clear"/>
        </w:rPr>
      </w:pPr>
      <w:r>
        <w:rPr>
          <w:shd w:fill="auto" w:val="clear"/>
        </w:rPr>
        <w:t>The contracting authority reserves the right to check information submitted by the tenderer if the evaluation committee considers it necessary.</w:t>
      </w:r>
    </w:p>
    <w:p>
      <w:pPr>
        <w:pStyle w:val="Heading3"/>
        <w:rPr>
          <w:highlight w:val="none"/>
          <w:shd w:fill="auto" w:val="clear"/>
        </w:rPr>
      </w:pPr>
      <w:r>
        <w:rPr>
          <w:shd w:fill="auto" w:val="clear"/>
        </w:rPr>
        <w:t>Examination of the administrative compliance of tenders</w:t>
      </w:r>
    </w:p>
    <w:p>
      <w:pPr>
        <w:pStyle w:val="Normal"/>
        <w:rPr>
          <w:highlight w:val="none"/>
          <w:shd w:fill="auto" w:val="clear"/>
        </w:rPr>
      </w:pPr>
      <w:r>
        <w:rPr>
          <w:shd w:fill="auto" w:val="clear"/>
        </w:rP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pPr>
        <w:pStyle w:val="Normal"/>
        <w:rPr>
          <w:highlight w:val="none"/>
          <w:shd w:fill="auto" w:val="clear"/>
        </w:rPr>
      </w:pPr>
      <w:r>
        <w:rPr>
          <w:shd w:fill="auto" w:val="clear"/>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pPr>
        <w:pStyle w:val="Normal"/>
        <w:rPr>
          <w:highlight w:val="none"/>
          <w:shd w:fill="auto" w:val="clear"/>
        </w:rPr>
      </w:pPr>
      <w:r>
        <w:rPr>
          <w:shd w:fill="auto" w:val="clear"/>
        </w:rPr>
        <w:t>The evaluation committee will check that each tender:</w:t>
      </w:r>
    </w:p>
    <w:p>
      <w:pPr>
        <w:pStyle w:val="Normal"/>
        <w:numPr>
          <w:ilvl w:val="0"/>
          <w:numId w:val="9"/>
        </w:numPr>
        <w:spacing w:before="0" w:after="0"/>
        <w:ind w:hanging="357" w:left="1559"/>
        <w:rPr>
          <w:highlight w:val="none"/>
          <w:shd w:fill="auto" w:val="clear"/>
        </w:rPr>
      </w:pPr>
      <w:r>
        <w:rPr>
          <w:shd w:fill="auto" w:val="clear"/>
        </w:rPr>
        <w:t>has been properly signed;</w:t>
      </w:r>
    </w:p>
    <w:p>
      <w:pPr>
        <w:pStyle w:val="Normal"/>
        <w:numPr>
          <w:ilvl w:val="0"/>
          <w:numId w:val="9"/>
        </w:numPr>
        <w:spacing w:before="0" w:after="0"/>
        <w:ind w:hanging="357" w:left="1559"/>
        <w:rPr>
          <w:highlight w:val="none"/>
          <w:shd w:fill="auto" w:val="clear"/>
        </w:rPr>
      </w:pPr>
      <w:r>
        <w:rPr>
          <w:shd w:fill="auto" w:val="clear"/>
        </w:rPr>
        <w:t>includes a correct tender guarantee (if required);</w:t>
      </w:r>
    </w:p>
    <w:p>
      <w:pPr>
        <w:pStyle w:val="Normal"/>
        <w:numPr>
          <w:ilvl w:val="0"/>
          <w:numId w:val="9"/>
        </w:numPr>
        <w:spacing w:before="0" w:after="0"/>
        <w:ind w:hanging="357" w:left="1559"/>
        <w:rPr>
          <w:highlight w:val="none"/>
          <w:shd w:fill="auto" w:val="clear"/>
        </w:rPr>
      </w:pPr>
      <w:r>
        <w:rPr>
          <w:shd w:fill="auto" w:val="clear"/>
        </w:rPr>
        <w:t>meets the requirements as set out in the administrative compliance grid;</w:t>
      </w:r>
    </w:p>
    <w:p>
      <w:pPr>
        <w:pStyle w:val="Normal"/>
        <w:numPr>
          <w:ilvl w:val="0"/>
          <w:numId w:val="9"/>
        </w:numPr>
        <w:spacing w:before="0" w:after="0"/>
        <w:ind w:hanging="357" w:left="1559"/>
        <w:rPr>
          <w:highlight w:val="none"/>
          <w:shd w:fill="auto" w:val="clear"/>
        </w:rPr>
      </w:pPr>
      <w:r>
        <w:rPr>
          <w:shd w:fill="auto" w:val="clear"/>
        </w:rPr>
        <w:t>has complete documentation and information;</w:t>
      </w:r>
    </w:p>
    <w:p>
      <w:pPr>
        <w:pStyle w:val="Normal"/>
        <w:numPr>
          <w:ilvl w:val="0"/>
          <w:numId w:val="9"/>
        </w:numPr>
        <w:ind w:hanging="360" w:left="1560"/>
        <w:rPr>
          <w:highlight w:val="none"/>
          <w:shd w:fill="auto" w:val="clear"/>
        </w:rPr>
      </w:pPr>
      <w:r>
        <w:rPr>
          <w:shd w:fill="auto" w:val="clear"/>
        </w:rPr>
        <w:t>substantially complies with the requirements of these tender documents.</w:t>
      </w:r>
    </w:p>
    <w:p>
      <w:pPr>
        <w:pStyle w:val="Normal"/>
        <w:rPr>
          <w:highlight w:val="none"/>
          <w:shd w:fill="auto" w:val="clear"/>
        </w:rPr>
      </w:pPr>
      <w:r>
        <w:rPr>
          <w:shd w:fill="auto" w:val="clear"/>
        </w:rPr>
        <w:t>If a tender does not meet the requirements set out in the administrative compliance grid, it may be rejected by the evaluation committee when checking admissibility.</w:t>
      </w:r>
    </w:p>
    <w:p>
      <w:pPr>
        <w:pStyle w:val="Heading3"/>
        <w:rPr>
          <w:highlight w:val="none"/>
          <w:shd w:fill="auto" w:val="clear"/>
        </w:rPr>
      </w:pPr>
      <w:r>
        <w:rPr>
          <w:shd w:fill="auto" w:val="clear"/>
        </w:rPr>
        <w:t>Technical evaluation</w:t>
      </w:r>
    </w:p>
    <w:p>
      <w:pPr>
        <w:pStyle w:val="Normal"/>
        <w:rPr>
          <w:highlight w:val="none"/>
          <w:shd w:fill="auto" w:val="clear"/>
        </w:rPr>
      </w:pPr>
      <w:r>
        <w:rPr>
          <w:shd w:fill="auto" w:val="clear"/>
        </w:rPr>
        <w:t xml:space="preserve">The evaluation committee must evaluate only those tenders considered substantially compliant in accordance with Clause 22.1. </w:t>
      </w:r>
    </w:p>
    <w:p>
      <w:pPr>
        <w:pStyle w:val="Normal"/>
        <w:rPr>
          <w:highlight w:val="none"/>
          <w:shd w:fill="auto" w:val="clear"/>
        </w:rPr>
      </w:pPr>
      <w:r>
        <w:rPr>
          <w:shd w:fill="auto" w:val="clear"/>
        </w:rPr>
        <w:t>At this step of the evaluation procedure, the committee will analyse the tenders' technical conformity in relation to the technical specifications, classifying them technically compliant or non-compliant.</w:t>
      </w:r>
    </w:p>
    <w:p>
      <w:pPr>
        <w:pStyle w:val="Normal"/>
        <w:rPr>
          <w:highlight w:val="none"/>
          <w:shd w:fill="auto" w:val="clear"/>
        </w:rPr>
      </w:pPr>
      <w:r>
        <w:rPr>
          <w:shd w:fill="auto" w:val="clear"/>
        </w:rPr>
        <w:t>Subsequently, the committee will evaluate the technically compliant offers in accordance with the technical evaluation grid (setting out the technical criteria, subcriteria and weightings) attached to the tender dossier.</w:t>
      </w:r>
    </w:p>
    <w:p>
      <w:pPr>
        <w:pStyle w:val="Heading3"/>
        <w:rPr>
          <w:highlight w:val="none"/>
          <w:shd w:fill="auto" w:val="clear"/>
        </w:rPr>
      </w:pPr>
      <w:r>
        <w:rPr>
          <w:shd w:fill="auto" w:val="clear"/>
        </w:rPr>
        <w:t>Financial evaluation</w:t>
      </w:r>
    </w:p>
    <w:p>
      <w:pPr>
        <w:pStyle w:val="Normal"/>
        <w:rPr>
          <w:highlight w:val="none"/>
          <w:shd w:fill="auto" w:val="clear"/>
        </w:rPr>
      </w:pPr>
      <w:r>
        <w:rPr>
          <w:shd w:fill="auto" w:val="clear"/>
        </w:rP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pPr>
        <w:pStyle w:val="Normal"/>
        <w:rPr>
          <w:highlight w:val="none"/>
          <w:shd w:fill="auto" w:val="clear"/>
        </w:rPr>
      </w:pPr>
      <w:r>
        <w:rPr>
          <w:shd w:fill="auto" w:val="clear"/>
        </w:rPr>
        <w:t xml:space="preserve">When analysing the tender, the evaluation committee will calculate the final tender price after adjusting it on the basis of Clause 23. </w:t>
      </w:r>
    </w:p>
    <w:p>
      <w:pPr>
        <w:pStyle w:val="Heading3"/>
        <w:rPr>
          <w:highlight w:val="none"/>
          <w:shd w:fill="auto" w:val="clear"/>
        </w:rPr>
      </w:pPr>
      <w:r>
        <w:rPr>
          <w:shd w:fill="auto" w:val="clear"/>
        </w:rPr>
        <w:t>Documentary evidence for exclusion and selection criteria</w:t>
      </w:r>
    </w:p>
    <w:p>
      <w:pPr>
        <w:pStyle w:val="Normal"/>
        <w:rPr>
          <w:highlight w:val="none"/>
          <w:shd w:fill="auto" w:val="clear"/>
        </w:rPr>
      </w:pPr>
      <w:r>
        <w:rPr>
          <w:shd w:fill="auto" w:val="clear"/>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All tenderers are invited to prepare in advance the documents related to the evidence, since they may be requested to provide such evidence within a short deadline. In any event, the tenderer proposed by the evaluation committee for the award of the contract, will be requested to provide such evidence at short notice. </w:t>
      </w:r>
    </w:p>
    <w:p>
      <w:pPr>
        <w:pStyle w:val="Normal"/>
        <w:rPr>
          <w:highlight w:val="none"/>
          <w:shd w:fill="auto" w:val="clear"/>
        </w:rPr>
      </w:pPr>
      <w:r>
        <w:rPr>
          <w:shd w:fill="auto" w:val="clear"/>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2.4.2. of the practical guide. </w:t>
      </w:r>
    </w:p>
    <w:p>
      <w:pPr>
        <w:pStyle w:val="Normal"/>
        <w:rPr>
          <w:highlight w:val="none"/>
          <w:shd w:fill="auto" w:val="clear"/>
        </w:rPr>
      </w:pPr>
      <w:r>
        <w:rPr>
          <w:shd w:fill="auto" w:val="clear"/>
        </w:rPr>
        <w:t xml:space="preserve">At any time during the procurement procedure, </w:t>
      </w:r>
      <w:bookmarkStart w:id="33" w:name="_Hlk138949784"/>
      <w:r>
        <w:rPr>
          <w:shd w:fill="auto" w:val="clear"/>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3"/>
    </w:p>
    <w:p>
      <w:pPr>
        <w:pStyle w:val="Normal"/>
        <w:rPr>
          <w:highlight w:val="none"/>
          <w:shd w:fill="auto" w:val="clear"/>
        </w:rPr>
      </w:pPr>
      <w:r>
        <w:rPr>
          <w:shd w:fill="auto" w:val="clear"/>
        </w:rPr>
        <w:t xml:space="preserve">This evidence, documents or statements must be dated, no more than one year before the date of submission of the tender. </w:t>
      </w:r>
    </w:p>
    <w:p>
      <w:pPr>
        <w:pStyle w:val="Normal"/>
        <w:rPr>
          <w:highlight w:val="none"/>
          <w:shd w:fill="auto" w:val="clear"/>
        </w:rPr>
      </w:pPr>
      <w:r>
        <w:rPr>
          <w:shd w:fill="auto" w:val="clear"/>
        </w:rPr>
        <w:t xml:space="preserve">The above-mentioned documents must be submitted for every member of a joint venture/consortium, all subcontractors and every capacity providing entity. </w:t>
      </w:r>
    </w:p>
    <w:p>
      <w:pPr>
        <w:pStyle w:val="Normal"/>
        <w:rPr>
          <w:highlight w:val="none"/>
          <w:shd w:fill="auto" w:val="clear"/>
        </w:rPr>
      </w:pPr>
      <w:r>
        <w:rPr>
          <w:shd w:fill="auto" w:val="clear"/>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pPr>
        <w:pStyle w:val="Normal"/>
        <w:rPr>
          <w:highlight w:val="none"/>
          <w:shd w:fill="auto" w:val="clear"/>
        </w:rPr>
      </w:pPr>
      <w:r>
        <w:rPr>
          <w:shd w:fill="auto" w:val="clear"/>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pPr>
        <w:pStyle w:val="Normal"/>
        <w:rPr>
          <w:highlight w:val="none"/>
          <w:shd w:fill="auto" w:val="clear"/>
        </w:rPr>
      </w:pPr>
      <w:r>
        <w:rPr>
          <w:shd w:fill="auto" w:val="clear"/>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pPr>
        <w:pStyle w:val="Heading2"/>
        <w:numPr>
          <w:ilvl w:val="1"/>
          <w:numId w:val="1"/>
        </w:numPr>
        <w:rPr>
          <w:highlight w:val="none"/>
          <w:shd w:fill="auto" w:val="clear"/>
        </w:rPr>
      </w:pPr>
      <w:bookmarkStart w:id="34" w:name="_Toc185006587"/>
      <w:r>
        <w:rPr>
          <w:shd w:fill="auto" w:val="clear"/>
        </w:rPr>
        <w:t>CORRECTING ERRORS</w:t>
      </w:r>
      <w:bookmarkEnd w:id="34"/>
    </w:p>
    <w:p>
      <w:pPr>
        <w:pStyle w:val="Heading3"/>
        <w:rPr>
          <w:highlight w:val="none"/>
          <w:shd w:fill="auto" w:val="clear"/>
        </w:rPr>
      </w:pPr>
      <w:r>
        <w:rPr>
          <w:shd w:fill="auto" w:val="clear"/>
        </w:rPr>
        <w:t>Possible errors in the financial offer will be corrected by the evaluation committee as follows:</w:t>
      </w:r>
    </w:p>
    <w:p>
      <w:pPr>
        <w:pStyle w:val="Normal"/>
        <w:numPr>
          <w:ilvl w:val="0"/>
          <w:numId w:val="10"/>
        </w:numPr>
        <w:spacing w:before="0" w:after="0"/>
        <w:ind w:hanging="357" w:left="1134"/>
        <w:rPr>
          <w:highlight w:val="none"/>
          <w:shd w:fill="auto" w:val="clear"/>
        </w:rPr>
      </w:pPr>
      <w:r>
        <w:rPr>
          <w:shd w:fill="auto" w:val="clear"/>
        </w:rPr>
        <w:t>where there is a discrepancy between amounts in figures and in words, the amount in words will prevail;</w:t>
      </w:r>
    </w:p>
    <w:p>
      <w:pPr>
        <w:pStyle w:val="Normal"/>
        <w:numPr>
          <w:ilvl w:val="0"/>
          <w:numId w:val="10"/>
        </w:numPr>
        <w:spacing w:before="0" w:after="0"/>
        <w:ind w:hanging="357" w:left="1134"/>
        <w:rPr>
          <w:highlight w:val="none"/>
          <w:shd w:fill="auto" w:val="clear"/>
        </w:rPr>
      </w:pPr>
      <w:r>
        <w:rPr>
          <w:shd w:fill="auto" w:val="clear"/>
        </w:rPr>
        <w:t>except for lump-sum contracts, where there is a discrepancy between a unit price and the total amount derived from the multiplication of the unit price and the quantity, the unit price as quoted will prevail.</w:t>
      </w:r>
    </w:p>
    <w:p>
      <w:pPr>
        <w:pStyle w:val="Heading3"/>
        <w:rPr>
          <w:highlight w:val="none"/>
          <w:shd w:fill="auto" w:val="clear"/>
        </w:rPr>
      </w:pPr>
      <w:r>
        <w:rPr>
          <w:shd w:fill="auto" w:val="clear"/>
        </w:rP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pPr>
        <w:pStyle w:val="Heading1"/>
        <w:rPr>
          <w:highlight w:val="none"/>
          <w:shd w:fill="auto" w:val="clear"/>
        </w:rPr>
      </w:pPr>
      <w:bookmarkStart w:id="35" w:name="_Toc185006588"/>
      <w:r>
        <w:rPr>
          <w:shd w:fill="auto" w:val="clear"/>
        </w:rPr>
        <w:t>CONTRACT AWARD</w:t>
      </w:r>
      <w:bookmarkEnd w:id="35"/>
    </w:p>
    <w:p>
      <w:pPr>
        <w:pStyle w:val="Heading2"/>
        <w:numPr>
          <w:ilvl w:val="1"/>
          <w:numId w:val="1"/>
        </w:numPr>
        <w:rPr>
          <w:highlight w:val="none"/>
          <w:shd w:fill="auto" w:val="clear"/>
        </w:rPr>
      </w:pPr>
      <w:bookmarkStart w:id="36" w:name="_Toc185006589"/>
      <w:r>
        <w:rPr>
          <w:shd w:fill="auto" w:val="clear"/>
        </w:rPr>
        <w:t>AWARD CRITERIA</w:t>
      </w:r>
      <w:bookmarkEnd w:id="36"/>
    </w:p>
    <w:p>
      <w:pPr>
        <w:pStyle w:val="Normal"/>
        <w:rPr>
          <w:highlight w:val="none"/>
          <w:shd w:fill="auto" w:val="clear"/>
        </w:rPr>
      </w:pPr>
      <w:r>
        <w:rPr>
          <w:shd w:fill="auto" w:val="clear"/>
        </w:rPr>
        <w:t>The most economically advantageous tender is the technically compliant tender with the lowest price.</w:t>
      </w:r>
    </w:p>
    <w:p>
      <w:pPr>
        <w:pStyle w:val="Heading2"/>
        <w:numPr>
          <w:ilvl w:val="1"/>
          <w:numId w:val="1"/>
        </w:numPr>
        <w:rPr>
          <w:highlight w:val="none"/>
          <w:shd w:fill="auto" w:val="clear"/>
        </w:rPr>
      </w:pPr>
      <w:r>
        <w:rPr>
          <w:shd w:fill="auto" w:val="clear"/>
        </w:rPr>
        <w:tab/>
      </w:r>
      <w:bookmarkStart w:id="37" w:name="_Toc185006590"/>
      <w:r>
        <w:rPr>
          <w:shd w:fill="auto" w:val="clear"/>
        </w:rPr>
        <w:t>NOTIFICATION OF AWARD, CONTRACT CLARIFICATIONS</w:t>
      </w:r>
      <w:bookmarkEnd w:id="37"/>
    </w:p>
    <w:p>
      <w:pPr>
        <w:pStyle w:val="Normal"/>
        <w:rPr>
          <w:highlight w:val="none"/>
          <w:shd w:fill="auto" w:val="clear"/>
        </w:rPr>
      </w:pPr>
      <w:r>
        <w:rPr>
          <w:shd w:fill="auto" w:val="clear"/>
        </w:rP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pPr>
        <w:pStyle w:val="Normal"/>
        <w:rPr>
          <w:highlight w:val="none"/>
          <w:shd w:fill="auto" w:val="clear"/>
        </w:rPr>
      </w:pPr>
      <w:r>
        <w:rPr>
          <w:shd w:fill="auto" w:val="clear"/>
        </w:rPr>
        <w:t>The contracting authority will inform all tenderers simultaneously and individually of the award decision. The tender guarantee of the unsuccessful tenderers will be released once the contract is signed.</w:t>
      </w:r>
    </w:p>
    <w:p>
      <w:pPr>
        <w:pStyle w:val="Normal"/>
        <w:rPr>
          <w:highlight w:val="none"/>
          <w:shd w:fill="auto" w:val="clear"/>
        </w:rPr>
      </w:pPr>
      <w:r>
        <w:rPr>
          <w:shd w:fill="auto" w:val="clear"/>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pPr>
        <w:pStyle w:val="Heading2"/>
        <w:numPr>
          <w:ilvl w:val="1"/>
          <w:numId w:val="1"/>
        </w:numPr>
        <w:rPr>
          <w:highlight w:val="none"/>
          <w:shd w:fill="auto" w:val="clear"/>
        </w:rPr>
      </w:pPr>
      <w:r>
        <w:rPr>
          <w:shd w:fill="auto" w:val="clear"/>
        </w:rPr>
        <w:tab/>
      </w:r>
      <w:bookmarkStart w:id="38" w:name="_Toc185006591"/>
      <w:r>
        <w:rPr>
          <w:shd w:fill="auto" w:val="clear"/>
        </w:rPr>
        <w:t>CONTRACT SIGNING AND PERFORMANCE GUARANTEE</w:t>
      </w:r>
      <w:bookmarkEnd w:id="38"/>
    </w:p>
    <w:p>
      <w:pPr>
        <w:pStyle w:val="Heading3"/>
        <w:rPr>
          <w:highlight w:val="none"/>
          <w:shd w:fill="auto" w:val="clear"/>
        </w:rPr>
      </w:pPr>
      <w:r>
        <w:rPr>
          <w:shd w:fill="auto" w:val="clear"/>
        </w:rPr>
        <w:t>Within 30 days of receipt of the contract already signed, the other party must countersign and date the contract and return it. If applicable, the contractor shall, together with the return of the countersigned contract, submit to the contracting authority a performance guarantee.  On signing the contract, the successful tenderer will become the contractor and the contract will enter into force.</w:t>
      </w:r>
    </w:p>
    <w:p>
      <w:pPr>
        <w:pStyle w:val="Normal"/>
        <w:rPr>
          <w:highlight w:val="none"/>
          <w:shd w:fill="auto" w:val="clear"/>
        </w:rPr>
      </w:pPr>
      <w:r>
        <w:rPr>
          <w:shd w:fill="auto" w:val="clear"/>
        </w:rPr>
        <w:t>If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pPr>
        <w:pStyle w:val="Heading3"/>
        <w:rPr>
          <w:highlight w:val="none"/>
          <w:shd w:fill="auto" w:val="clear"/>
        </w:rPr>
      </w:pPr>
      <w:r>
        <w:rPr>
          <w:shd w:fill="auto" w:val="clear"/>
        </w:rPr>
        <w:t>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pPr>
        <w:pStyle w:val="Heading3"/>
        <w:rPr>
          <w:highlight w:val="none"/>
          <w:shd w:fill="auto" w:val="clear"/>
        </w:rPr>
      </w:pPr>
      <w:r>
        <w:rPr>
          <w:shd w:fill="auto" w:val="clear"/>
        </w:rPr>
        <w:t>The performance guarantee referred to in the general conditions is set at 5% of the amount of the contract and must be presented in the form specified in the annex to the tender dossier, except where it takes the form of a certified cheque or a cash deposit. It will be released in accordance with the special conditions.</w:t>
      </w:r>
    </w:p>
    <w:p>
      <w:pPr>
        <w:pStyle w:val="Heading2"/>
        <w:numPr>
          <w:ilvl w:val="1"/>
          <w:numId w:val="1"/>
        </w:numPr>
        <w:rPr>
          <w:highlight w:val="none"/>
          <w:shd w:fill="auto" w:val="clear"/>
        </w:rPr>
      </w:pPr>
      <w:bookmarkStart w:id="39" w:name="_Toc185006592"/>
      <w:r>
        <w:rPr>
          <w:shd w:fill="auto" w:val="clear"/>
        </w:rPr>
        <w:t>CANCELLATION OF THE TENDER PROCEDURE</w:t>
      </w:r>
      <w:bookmarkEnd w:id="39"/>
    </w:p>
    <w:p>
      <w:pPr>
        <w:pStyle w:val="Normal"/>
        <w:rPr>
          <w:highlight w:val="none"/>
          <w:shd w:fill="auto" w:val="clear"/>
        </w:rPr>
      </w:pPr>
      <w:r>
        <w:rPr>
          <w:shd w:fill="auto" w:val="clear"/>
        </w:rPr>
        <w:t>In the event of cancellation of a tender procedure, tenderers will be notified by the contracting authority. If the tender procedure is cancelled before the tender opening session, the sealed envelopes will be returned, unopened, to the tenderers.</w:t>
      </w:r>
    </w:p>
    <w:p>
      <w:pPr>
        <w:pStyle w:val="Normal"/>
        <w:rPr>
          <w:highlight w:val="none"/>
          <w:shd w:fill="auto" w:val="clear"/>
        </w:rPr>
      </w:pPr>
      <w:r>
        <w:rPr>
          <w:shd w:fill="auto" w:val="clear"/>
        </w:rPr>
        <w:t>Cancellation may occur, for example, where:</w:t>
      </w:r>
    </w:p>
    <w:p>
      <w:pPr>
        <w:pStyle w:val="Normal"/>
        <w:numPr>
          <w:ilvl w:val="0"/>
          <w:numId w:val="11"/>
        </w:numPr>
        <w:spacing w:before="0" w:after="40"/>
        <w:ind w:hanging="357" w:left="1134"/>
        <w:rPr>
          <w:highlight w:val="none"/>
          <w:shd w:fill="auto" w:val="clear"/>
        </w:rPr>
      </w:pPr>
      <w:r>
        <w:rPr>
          <w:shd w:fill="auto" w:val="clear"/>
        </w:rPr>
        <w:t>the tender procedure has been unsuccessful, namely where no qualitatively or financially worthwhile tender has been received or there has been no valid response at all;</w:t>
      </w:r>
    </w:p>
    <w:p>
      <w:pPr>
        <w:pStyle w:val="Normal"/>
        <w:numPr>
          <w:ilvl w:val="0"/>
          <w:numId w:val="11"/>
        </w:numPr>
        <w:spacing w:before="0" w:after="40"/>
        <w:ind w:hanging="357" w:left="1134"/>
        <w:rPr>
          <w:highlight w:val="none"/>
          <w:shd w:fill="auto" w:val="clear"/>
        </w:rPr>
      </w:pPr>
      <w:r>
        <w:rPr>
          <w:shd w:fill="auto" w:val="clear"/>
        </w:rPr>
        <w:t>the economic or technical parameters of the project have been fundamentally altered;</w:t>
      </w:r>
    </w:p>
    <w:p>
      <w:pPr>
        <w:pStyle w:val="Normal"/>
        <w:numPr>
          <w:ilvl w:val="0"/>
          <w:numId w:val="11"/>
        </w:numPr>
        <w:spacing w:before="0" w:after="40"/>
        <w:ind w:hanging="357" w:left="1134"/>
        <w:rPr>
          <w:highlight w:val="none"/>
          <w:shd w:fill="auto" w:val="clear"/>
        </w:rPr>
      </w:pPr>
      <w:r>
        <w:rPr>
          <w:shd w:fill="auto" w:val="clear"/>
        </w:rPr>
        <w:t>exceptional circumstances or force majeure render normal execution of the project impossible;</w:t>
      </w:r>
    </w:p>
    <w:p>
      <w:pPr>
        <w:pStyle w:val="Normal"/>
        <w:numPr>
          <w:ilvl w:val="0"/>
          <w:numId w:val="11"/>
        </w:numPr>
        <w:spacing w:before="0" w:after="40"/>
        <w:ind w:hanging="357" w:left="1134"/>
        <w:rPr>
          <w:highlight w:val="none"/>
          <w:shd w:fill="auto" w:val="clear"/>
        </w:rPr>
      </w:pPr>
      <w:r>
        <w:rPr>
          <w:shd w:fill="auto" w:val="clear"/>
        </w:rPr>
        <w:t>all technically compliant tenders exceed the financial resources available;</w:t>
      </w:r>
    </w:p>
    <w:p>
      <w:pPr>
        <w:pStyle w:val="Normal"/>
        <w:numPr>
          <w:ilvl w:val="0"/>
          <w:numId w:val="11"/>
        </w:numPr>
        <w:spacing w:before="0" w:after="40"/>
        <w:ind w:hanging="357" w:left="1134"/>
        <w:rPr>
          <w:highlight w:val="none"/>
          <w:shd w:fill="auto" w:val="clear"/>
        </w:rPr>
      </w:pPr>
      <w:r>
        <w:rPr>
          <w:shd w:fill="auto" w:val="clear"/>
        </w:rPr>
        <w:t>there have been irregularities in the procedure, in particular where these have prevented fair competition;</w:t>
      </w:r>
    </w:p>
    <w:p>
      <w:pPr>
        <w:pStyle w:val="Normal"/>
        <w:numPr>
          <w:ilvl w:val="0"/>
          <w:numId w:val="11"/>
        </w:numPr>
        <w:spacing w:before="0" w:after="40"/>
        <w:ind w:hanging="357" w:left="1134"/>
        <w:rPr>
          <w:highlight w:val="none"/>
          <w:shd w:fill="auto" w:val="clear"/>
        </w:rPr>
      </w:pPr>
      <w:r>
        <w:rPr>
          <w:shd w:fill="auto" w:val="clear"/>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pPr>
        <w:pStyle w:val="Normal"/>
        <w:rPr>
          <w:highlight w:val="none"/>
          <w:shd w:fill="auto" w:val="clear"/>
        </w:rPr>
      </w:pPr>
      <w:r>
        <w:rPr>
          <w:shd w:fill="auto" w:val="clear"/>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pPr>
        <w:pStyle w:val="Heading2"/>
        <w:numPr>
          <w:ilvl w:val="1"/>
          <w:numId w:val="1"/>
        </w:numPr>
        <w:rPr>
          <w:highlight w:val="none"/>
          <w:shd w:fill="auto" w:val="clear"/>
        </w:rPr>
      </w:pPr>
      <w:bookmarkStart w:id="40" w:name="_Toc185006593"/>
      <w:r>
        <w:rPr>
          <w:shd w:fill="auto" w:val="clear"/>
        </w:rPr>
        <w:t>ETHICS, VALUES AND CODE OF CONDUCT</w:t>
      </w:r>
      <w:bookmarkEnd w:id="40"/>
    </w:p>
    <w:p>
      <w:pPr>
        <w:pStyle w:val="Heading3"/>
        <w:rPr>
          <w:highlight w:val="none"/>
          <w:shd w:fill="auto" w:val="clear"/>
        </w:rPr>
      </w:pPr>
      <w:r>
        <w:rPr>
          <w:shd w:fill="auto" w:val="clear"/>
        </w:rPr>
        <w:t>Absence of conflict of interest and of professional conflicting interest</w:t>
      </w:r>
    </w:p>
    <w:p>
      <w:pPr>
        <w:pStyle w:val="Normal"/>
        <w:rPr>
          <w:highlight w:val="none"/>
          <w:shd w:fill="auto" w:val="clear"/>
        </w:rPr>
      </w:pPr>
      <w:r>
        <w:rPr>
          <w:shd w:fill="auto" w:val="clear"/>
        </w:rPr>
        <w:t xml:space="preserve">The tenderer must not be affected by any professional conflicting interest nor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pPr>
        <w:pStyle w:val="Heading3"/>
        <w:rPr>
          <w:highlight w:val="none"/>
          <w:shd w:fill="auto" w:val="clear"/>
        </w:rPr>
      </w:pPr>
      <w:r>
        <w:rPr>
          <w:shd w:fill="auto" w:val="clear"/>
        </w:rPr>
        <w:t xml:space="preserve">Respect for human rights and EU values as well as environmental legislation and core labour standards </w:t>
      </w:r>
    </w:p>
    <w:p>
      <w:pPr>
        <w:pStyle w:val="Normal"/>
        <w:rPr>
          <w:highlight w:val="none"/>
          <w:shd w:fill="auto" w:val="clear"/>
        </w:rPr>
      </w:pPr>
      <w:r>
        <w:rPr>
          <w:shd w:fill="auto" w:val="clear"/>
        </w:rPr>
        <w:t>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pPr>
        <w:pStyle w:val="Normal"/>
        <w:rPr>
          <w:highlight w:val="none"/>
          <w:shd w:fill="auto" w:val="clear"/>
        </w:rPr>
      </w:pPr>
      <w:r>
        <w:rPr>
          <w:shd w:fill="auto" w:val="clear"/>
        </w:rPr>
        <w:t xml:space="preserve">The tenderer and its personnel must comply with EU values, such as respect for human dignity, freedom, democracy, equality, the rule of law and human rights, including the rights of minorities. </w:t>
      </w:r>
    </w:p>
    <w:p>
      <w:pPr>
        <w:pStyle w:val="Normal"/>
        <w:pBdr>
          <w:top w:val="single" w:sz="4" w:space="0" w:color="000000"/>
          <w:left w:val="single" w:sz="4" w:space="0" w:color="000000"/>
          <w:bottom w:val="single" w:sz="4" w:space="1" w:color="000000"/>
          <w:right w:val="single" w:sz="4" w:space="4" w:color="000000"/>
        </w:pBdr>
        <w:spacing w:before="120" w:after="120"/>
        <w:ind w:left="420"/>
        <w:rPr>
          <w:highlight w:val="none"/>
          <w:shd w:fill="auto" w:val="clear"/>
        </w:rPr>
      </w:pPr>
      <w:r>
        <w:rPr>
          <w:b/>
          <w:szCs w:val="22"/>
          <w:shd w:fill="auto" w:val="clear"/>
        </w:rPr>
        <w:t>Zero tolerance for sexual exploitation, abuse and harassment:</w:t>
      </w:r>
    </w:p>
    <w:p>
      <w:pPr>
        <w:pStyle w:val="Normal"/>
        <w:pBdr>
          <w:top w:val="single" w:sz="4" w:space="0" w:color="000000"/>
          <w:left w:val="single" w:sz="4" w:space="0" w:color="000000"/>
          <w:bottom w:val="single" w:sz="4" w:space="1" w:color="000000"/>
          <w:right w:val="single" w:sz="4" w:space="4" w:color="000000"/>
        </w:pBdr>
        <w:spacing w:before="120" w:after="120"/>
        <w:ind w:left="420"/>
        <w:rPr>
          <w:highlight w:val="none"/>
          <w:shd w:fill="auto" w:val="clear"/>
        </w:rPr>
      </w:pPr>
      <w:r>
        <w:rPr>
          <w:szCs w:val="22"/>
          <w:shd w:fill="auto" w:val="clear"/>
        </w:rPr>
        <w:t xml:space="preserve">The European Commission applies a policy of 'zero tolerance' in relation to all wrongful conduct which has an impact on the professional credibility of the tenderer. </w:t>
      </w:r>
    </w:p>
    <w:p>
      <w:pPr>
        <w:pStyle w:val="Normal"/>
        <w:pBdr>
          <w:top w:val="single" w:sz="4" w:space="0" w:color="000000"/>
          <w:left w:val="single" w:sz="4" w:space="0" w:color="000000"/>
          <w:bottom w:val="single" w:sz="4" w:space="1" w:color="000000"/>
          <w:right w:val="single" w:sz="4" w:space="4" w:color="000000"/>
        </w:pBdr>
        <w:spacing w:before="120" w:after="120"/>
        <w:ind w:left="420"/>
        <w:rPr>
          <w:highlight w:val="none"/>
          <w:shd w:fill="auto" w:val="clear"/>
        </w:rPr>
      </w:pPr>
      <w:r>
        <w:rPr>
          <w:szCs w:val="22"/>
          <w:shd w:fill="auto" w:val="clear"/>
        </w:rPr>
        <w:t xml:space="preserve">Physical abuse or punishment, or threats of physical abuse, sexual abuse or exploitation, harassment and verbal abuse, as well as other forms of intimidation shall be prohibited. </w:t>
      </w:r>
    </w:p>
    <w:p>
      <w:pPr>
        <w:pStyle w:val="Heading3"/>
        <w:rPr>
          <w:highlight w:val="none"/>
          <w:shd w:fill="auto" w:val="clear"/>
        </w:rPr>
      </w:pPr>
      <w:r>
        <w:rPr>
          <w:shd w:fill="auto" w:val="clear"/>
        </w:rPr>
        <w:t xml:space="preserve">Anti-corruption and anti-bribery </w:t>
      </w:r>
    </w:p>
    <w:p>
      <w:pPr>
        <w:pStyle w:val="Normal"/>
        <w:rPr>
          <w:highlight w:val="none"/>
          <w:shd w:fill="auto" w:val="clear"/>
        </w:rPr>
      </w:pPr>
      <w:r>
        <w:rPr>
          <w:shd w:fill="auto" w:val="clear"/>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pPr>
        <w:pStyle w:val="Heading3"/>
        <w:rPr>
          <w:highlight w:val="none"/>
          <w:shd w:fill="auto" w:val="clear"/>
        </w:rPr>
      </w:pPr>
      <w:r>
        <w:rPr>
          <w:shd w:fill="auto" w:val="clear"/>
        </w:rPr>
        <w:t xml:space="preserve">Unusual commercial expenses </w:t>
      </w:r>
    </w:p>
    <w:p>
      <w:pPr>
        <w:pStyle w:val="Normal"/>
        <w:rPr>
          <w:highlight w:val="none"/>
          <w:shd w:fill="auto" w:val="clear"/>
        </w:rPr>
      </w:pPr>
      <w:r>
        <w:rPr>
          <w:shd w:fill="auto" w:val="clear"/>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pPr>
        <w:pStyle w:val="Normal"/>
        <w:rPr>
          <w:highlight w:val="none"/>
          <w:shd w:fill="auto" w:val="clear"/>
        </w:rPr>
      </w:pPr>
      <w:r>
        <w:rPr>
          <w:shd w:fill="auto" w:val="clear"/>
        </w:rPr>
        <w:t>Contractors found to have paid unusual commercial expenses on projects funded by the European Union are liable, depending on the seriousness of the facts observed, to have their contracts terminated or to be permanently excluded from receiving EU funds.</w:t>
      </w:r>
    </w:p>
    <w:p>
      <w:pPr>
        <w:pStyle w:val="Heading3"/>
        <w:rPr>
          <w:highlight w:val="none"/>
          <w:shd w:fill="auto" w:val="clear"/>
        </w:rPr>
      </w:pPr>
      <w:r>
        <w:rPr>
          <w:shd w:fill="auto" w:val="clear"/>
        </w:rPr>
        <w:t>Breach of obligations, irregularities or fraud</w:t>
      </w:r>
    </w:p>
    <w:p>
      <w:pPr>
        <w:pStyle w:val="Normal"/>
        <w:rPr>
          <w:highlight w:val="none"/>
          <w:shd w:fill="auto" w:val="clear"/>
        </w:rPr>
      </w:pPr>
      <w:r>
        <w:rPr>
          <w:shd w:fill="auto" w:val="clear"/>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pPr>
        <w:pStyle w:val="Normal"/>
        <w:rPr>
          <w:sz w:val="2"/>
          <w:szCs w:val="2"/>
          <w:highlight w:val="none"/>
          <w:shd w:fill="auto" w:val="clear"/>
        </w:rPr>
      </w:pPr>
      <w:r>
        <w:rPr>
          <w:sz w:val="2"/>
          <w:szCs w:val="2"/>
          <w:shd w:fill="auto" w:val="clear"/>
        </w:rPr>
      </w:r>
    </w:p>
    <w:p>
      <w:pPr>
        <w:pStyle w:val="Heading2"/>
        <w:numPr>
          <w:ilvl w:val="1"/>
          <w:numId w:val="1"/>
        </w:numPr>
        <w:rPr>
          <w:highlight w:val="none"/>
          <w:shd w:fill="auto" w:val="clear"/>
        </w:rPr>
      </w:pPr>
      <w:bookmarkStart w:id="41" w:name="_Toc185006594"/>
      <w:r>
        <w:rPr>
          <w:shd w:fill="auto" w:val="clear"/>
        </w:rPr>
        <w:t>APPEALS</w:t>
      </w:r>
      <w:bookmarkEnd w:id="41"/>
    </w:p>
    <w:p>
      <w:pPr>
        <w:pStyle w:val="Normal"/>
        <w:rPr>
          <w:highlight w:val="none"/>
          <w:shd w:fill="auto" w:val="clear"/>
        </w:rPr>
      </w:pPr>
      <w:r>
        <w:rPr>
          <w:shd w:fill="auto" w:val="clear"/>
        </w:rPr>
        <w:t>Tenderers believing that they have been harmed by an error or irregularity during the award process may file a complaint. See Section 2.12. of the practical guide.</w:t>
      </w:r>
    </w:p>
    <w:p>
      <w:pPr>
        <w:pStyle w:val="Heading2"/>
        <w:numPr>
          <w:ilvl w:val="1"/>
          <w:numId w:val="1"/>
        </w:numPr>
        <w:rPr>
          <w:highlight w:val="none"/>
          <w:shd w:fill="auto" w:val="clear"/>
        </w:rPr>
      </w:pPr>
      <w:bookmarkStart w:id="42" w:name="_Toc185006595"/>
      <w:bookmarkStart w:id="43" w:name="_Toc169721025"/>
      <w:bookmarkStart w:id="44" w:name="_Toc169721198"/>
      <w:bookmarkEnd w:id="43"/>
      <w:bookmarkEnd w:id="44"/>
      <w:r>
        <w:rPr>
          <w:shd w:fill="auto" w:val="clear"/>
        </w:rPr>
        <w:t>DATA PROTECTION</w:t>
      </w:r>
      <w:bookmarkEnd w:id="42"/>
    </w:p>
    <w:p>
      <w:pPr>
        <w:pStyle w:val="Normal"/>
        <w:rPr>
          <w:highlight w:val="none"/>
          <w:shd w:fill="auto" w:val="clear"/>
        </w:rPr>
      </w:pPr>
      <w:r>
        <w:rPr>
          <w:shd w:fill="auto" w:val="clear"/>
        </w:rPr>
        <w:t>Processing of personal data related to this tender procedure by the contracting authority takes place in accordance with the national legislation of the state of the contracting authority and with the provisions of the respective financing agreement.</w:t>
      </w:r>
    </w:p>
    <w:p>
      <w:pPr>
        <w:pStyle w:val="Normal"/>
        <w:rPr>
          <w:highlight w:val="none"/>
          <w:shd w:fill="auto" w:val="clear"/>
        </w:rPr>
      </w:pPr>
      <w:r>
        <w:rPr>
          <w:shd w:fill="auto" w:val="clear"/>
        </w:rPr>
        <w:t>The tender procedure and the contract relate to an external action funded by the EU, represented by the European Commission. If processing your reply to the invitation to tender involves transfer of personal</w:t>
      </w:r>
      <w:r>
        <w:rPr>
          <w:szCs w:val="22"/>
          <w:shd w:fill="auto" w:val="clear"/>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r>
        <w:rPr>
          <w:shd w:fill="auto" w:val="clear"/>
          <w:lang w:val="en-IE"/>
        </w:rPr>
        <w:t>For the part of the data transferred by the contracting authority to the European Commission,, the controller for the processing of personal data carried out within the Commission is Valentina Dimitrovska, councilor for personnel data protection in Municipality of Kriva Palanka.</w:t>
      </w:r>
    </w:p>
    <w:p>
      <w:pPr>
        <w:pStyle w:val="Heading2"/>
        <w:numPr>
          <w:ilvl w:val="1"/>
          <w:numId w:val="1"/>
        </w:numPr>
        <w:rPr>
          <w:highlight w:val="none"/>
          <w:shd w:fill="auto" w:val="clear"/>
        </w:rPr>
      </w:pPr>
      <w:bookmarkStart w:id="45" w:name="_Toc185006596"/>
      <w:r>
        <w:rPr>
          <w:shd w:fill="auto" w:val="clear"/>
        </w:rPr>
        <w:t>EARLY DETECTION AND EXCLUSION SYSTEM</w:t>
      </w:r>
      <w:bookmarkEnd w:id="45"/>
    </w:p>
    <w:p>
      <w:pPr>
        <w:pStyle w:val="Normal"/>
        <w:rPr>
          <w:highlight w:val="none"/>
          <w:shd w:fill="auto" w:val="clear"/>
        </w:rPr>
      </w:pPr>
      <w:r>
        <w:rPr>
          <w:shd w:fill="auto" w:val="clear"/>
        </w:rPr>
        <w:t>The tenderers and, if they are legal entities, persons who have powers of representation, decision-making or control over them, natural or legal person that assumes unlimited liability for the debts, natural or legal person who is essential for the award or for the implementation of the legal commitment, beneficial owner or any affiliate or the tenderer, are informed that, should they be in one of the situations of early detection or exclusion, their personal details (name, given name if natural person, address, legal form) may be registered in the early detection and exclusion system (EDES)  and communicated to the persons and entities concerned in relation to the award or the execution of a procurement contract.</w:t>
      </w:r>
    </w:p>
    <w:p>
      <w:pPr>
        <w:pStyle w:val="Normal"/>
        <w:rPr/>
      </w:pPr>
      <w:bookmarkStart w:id="46" w:name="_Hlk163231805"/>
      <w:r>
        <w:rPr>
          <w:shd w:fill="auto" w:val="clear"/>
        </w:rPr>
        <w:t xml:space="preserve">For more information, you may consult the privacy statement available on </w:t>
      </w:r>
      <w:hyperlink r:id="rId8">
        <w:r>
          <w:rPr>
            <w:rStyle w:val="Hyperlink"/>
            <w:rFonts w:eastAsia="Calibri"/>
            <w:shd w:fill="auto" w:val="clear"/>
          </w:rPr>
          <w:t>http://ec.europa.eu/budget/explained/management/protecting/protect_en.cfm</w:t>
        </w:r>
      </w:hyperlink>
      <w:r>
        <w:rPr>
          <w:shd w:fill="auto" w:val="clear"/>
        </w:rPr>
        <w:t xml:space="preserve"> </w:t>
      </w:r>
      <w:bookmarkEnd w:id="46"/>
    </w:p>
    <w:p>
      <w:pPr>
        <w:sectPr>
          <w:footerReference w:type="even" r:id="rId9"/>
          <w:footerReference w:type="default" r:id="rId10"/>
          <w:footerReference w:type="first" r:id="rId11"/>
          <w:footnotePr>
            <w:numFmt w:val="decimal"/>
          </w:footnotePr>
          <w:type w:val="nextPage"/>
          <w:pgSz w:w="11906" w:h="16838"/>
          <w:pgMar w:left="1298" w:right="1298" w:gutter="0" w:header="0" w:top="1135" w:footer="720" w:bottom="1276"/>
          <w:pgNumType w:fmt="decimal"/>
          <w:formProt w:val="false"/>
          <w:titlePg/>
          <w:textDirection w:val="lrTb"/>
          <w:docGrid w:type="default" w:linePitch="100" w:charSpace="0"/>
        </w:sectPr>
        <w:pStyle w:val="Normal"/>
        <w:spacing w:before="600" w:after="120"/>
        <w:jc w:val="center"/>
        <w:rPr>
          <w:highlight w:val="none"/>
          <w:shd w:fill="auto" w:val="clear"/>
        </w:rPr>
      </w:pPr>
      <w:r>
        <w:rPr>
          <w:shd w:fill="auto" w:val="clear"/>
        </w:rPr>
        <w:t>* * *</w:t>
      </w:r>
    </w:p>
    <w:p>
      <w:pPr>
        <w:pStyle w:val="Normal"/>
        <w:keepNext w:val="true"/>
        <w:numPr>
          <w:ilvl w:val="0"/>
          <w:numId w:val="0"/>
        </w:numPr>
        <w:spacing w:beforeAutospacing="1" w:afterAutospacing="1"/>
        <w:ind w:hanging="0" w:left="0"/>
        <w:outlineLvl w:val="1"/>
        <w:rPr>
          <w:highlight w:val="none"/>
          <w:shd w:fill="auto" w:val="clear"/>
        </w:rPr>
      </w:pPr>
      <w:bookmarkStart w:id="47" w:name="_Toc32835086"/>
      <w:bookmarkStart w:id="48" w:name="_Ref527984579"/>
      <w:bookmarkStart w:id="49" w:name="_Ref527984295"/>
      <w:r>
        <w:rPr>
          <w:b/>
          <w:bCs/>
          <w:sz w:val="24"/>
          <w:szCs w:val="24"/>
          <w:shd w:fill="auto" w:val="clear"/>
          <w:lang w:eastAsia="en-GB"/>
        </w:rPr>
        <w:t xml:space="preserve">List of documents to be submitted with the tender </w:t>
      </w:r>
      <w:bookmarkEnd w:id="47"/>
      <w:bookmarkEnd w:id="48"/>
      <w:bookmarkEnd w:id="49"/>
    </w:p>
    <w:p>
      <w:pPr>
        <w:pStyle w:val="Normal"/>
        <w:ind w:left="0"/>
        <w:rPr>
          <w:highlight w:val="none"/>
          <w:shd w:fill="auto" w:val="clear"/>
        </w:rPr>
      </w:pPr>
      <w:r>
        <w:rPr>
          <w:shd w:fill="auto" w:val="clear"/>
        </w:rPr>
      </w:r>
    </w:p>
    <w:p>
      <w:pPr>
        <w:pStyle w:val="Normal"/>
        <w:spacing w:lineRule="auto" w:line="259" w:before="0" w:after="0"/>
        <w:ind w:left="0"/>
        <w:jc w:val="left"/>
        <w:rPr>
          <w:highlight w:val="none"/>
          <w:shd w:fill="auto" w:val="clear"/>
        </w:rPr>
      </w:pPr>
      <w:r>
        <w:rPr>
          <w:rFonts w:eastAsia="Calibri" w:ascii="Calibri" w:hAnsi="Calibri"/>
          <w:b/>
          <w:bCs/>
          <w:i/>
          <w:iCs/>
          <w:color w:val="0070C0"/>
          <w:szCs w:val="22"/>
          <w:shd w:fill="auto" w:val="clear"/>
        </w:rPr>
        <w:t>The purpose of this table is to help tenderers prepare their tenders and set out clearly what documents must be submitted, by which involved entities, when (with the tender or later on request of the Contracting authority).</w:t>
      </w:r>
    </w:p>
    <w:p>
      <w:pPr>
        <w:pStyle w:val="Normal"/>
        <w:spacing w:lineRule="auto" w:line="259" w:before="0" w:after="0"/>
        <w:ind w:left="0"/>
        <w:rPr>
          <w:rFonts w:ascii="Calibri" w:hAnsi="Calibri" w:eastAsia="Calibri"/>
          <w:szCs w:val="22"/>
          <w:highlight w:val="none"/>
          <w:shd w:fill="auto" w:val="clear"/>
        </w:rPr>
      </w:pPr>
      <w:r>
        <w:rPr>
          <w:rFonts w:eastAsia="Calibri" w:ascii="Calibri" w:hAnsi="Calibri"/>
          <w:szCs w:val="22"/>
          <w:shd w:fill="auto" w:val="clear"/>
        </w:rPr>
      </w:r>
    </w:p>
    <w:tbl>
      <w:tblPr>
        <w:tblW w:w="141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26"/>
        <w:gridCol w:w="1134"/>
        <w:gridCol w:w="992"/>
        <w:gridCol w:w="1134"/>
        <w:gridCol w:w="1276"/>
        <w:gridCol w:w="992"/>
        <w:gridCol w:w="1525"/>
        <w:gridCol w:w="2870"/>
        <w:gridCol w:w="2723"/>
      </w:tblGrid>
      <w:tr>
        <w:trPr>
          <w:trHeight w:val="686" w:hRule="atLeast"/>
        </w:trPr>
        <w:tc>
          <w:tcPr>
            <w:tcW w:w="1526" w:type="dxa"/>
            <w:vMerge w:val="restart"/>
            <w:tcBorders>
              <w:top w:val="single" w:sz="8" w:space="0" w:color="44546A"/>
              <w:left w:val="single" w:sz="8" w:space="0" w:color="44546A"/>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Description</w:t>
            </w:r>
          </w:p>
        </w:tc>
        <w:tc>
          <w:tcPr>
            <w:tcW w:w="1134" w:type="dxa"/>
            <w:vMerge w:val="restart"/>
            <w:tcBorders>
              <w:top w:val="single" w:sz="8" w:space="0" w:color="44546A"/>
              <w:bottom w:val="single" w:sz="8" w:space="0" w:color="5B9BD5"/>
              <w:right w:val="single" w:sz="8" w:space="0" w:color="44546A"/>
            </w:tcBorders>
            <w:shd w:color="auto" w:fill="5B9BD5" w:val="clear"/>
          </w:tcPr>
          <w:p>
            <w:pPr>
              <w:pStyle w:val="Normal"/>
              <w:spacing w:beforeAutospacing="1" w:after="0"/>
              <w:ind w:left="0"/>
              <w:rPr>
                <w:highlight w:val="none"/>
                <w:shd w:fill="auto" w:val="clear"/>
              </w:rPr>
            </w:pPr>
            <w:r>
              <w:rPr>
                <w:rFonts w:eastAsia="Calibri" w:ascii="Calibri" w:hAnsi="Calibri"/>
                <w:b/>
                <w:bCs/>
                <w:color w:val="FFFFFF"/>
                <w:szCs w:val="22"/>
                <w:shd w:fill="auto" w:val="clear"/>
                <w:lang w:eastAsia="en-GB"/>
              </w:rPr>
              <w:t>Sole tenderer/individual candidate</w:t>
            </w:r>
          </w:p>
        </w:tc>
        <w:tc>
          <w:tcPr>
            <w:tcW w:w="2126" w:type="dxa"/>
            <w:gridSpan w:val="2"/>
            <w:tcBorders>
              <w:top w:val="single" w:sz="8" w:space="0" w:color="44546A"/>
              <w:bottom w:val="single" w:sz="8" w:space="0" w:color="44546A"/>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Consortium</w:t>
            </w:r>
          </w:p>
        </w:tc>
        <w:tc>
          <w:tcPr>
            <w:tcW w:w="1276" w:type="dxa"/>
            <w:vMerge w:val="restart"/>
            <w:tcBorders>
              <w:top w:val="single" w:sz="8" w:space="0" w:color="44546A"/>
              <w:bottom w:val="single" w:sz="8" w:space="0" w:color="5B9BD5"/>
              <w:right w:val="single" w:sz="8" w:space="0" w:color="44546A"/>
            </w:tcBorders>
            <w:shd w:color="auto" w:fill="5B9BD5" w:val="clear"/>
          </w:tcPr>
          <w:p>
            <w:pPr>
              <w:pStyle w:val="Normal"/>
              <w:spacing w:beforeAutospacing="1" w:after="0"/>
              <w:ind w:left="0"/>
              <w:rPr>
                <w:highlight w:val="none"/>
                <w:shd w:fill="auto" w:val="clear"/>
              </w:rPr>
            </w:pPr>
            <w:r>
              <w:rPr>
                <w:rFonts w:eastAsia="Calibri" w:ascii="Calibri" w:hAnsi="Calibri"/>
                <w:b/>
                <w:bCs/>
                <w:color w:val="FFFFFF"/>
                <w:szCs w:val="22"/>
                <w:shd w:fill="auto" w:val="clear"/>
                <w:lang w:eastAsia="en-GB"/>
              </w:rPr>
              <w:t>Identified Sub-contractor</w:t>
            </w:r>
          </w:p>
        </w:tc>
        <w:tc>
          <w:tcPr>
            <w:tcW w:w="992" w:type="dxa"/>
            <w:vMerge w:val="restart"/>
            <w:tcBorders>
              <w:top w:val="single" w:sz="8" w:space="0" w:color="44546A"/>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Entity on whose capacity is being relied</w:t>
            </w:r>
          </w:p>
        </w:tc>
        <w:tc>
          <w:tcPr>
            <w:tcW w:w="1525" w:type="dxa"/>
            <w:vMerge w:val="restart"/>
            <w:tcBorders>
              <w:top w:val="single" w:sz="8" w:space="0" w:color="44546A"/>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When and where to submit the document?</w:t>
            </w:r>
          </w:p>
        </w:tc>
        <w:tc>
          <w:tcPr>
            <w:tcW w:w="5593" w:type="dxa"/>
            <w:gridSpan w:val="2"/>
            <w:tcBorders>
              <w:top w:val="single" w:sz="8" w:space="0" w:color="44546A"/>
              <w:bottom w:val="single" w:sz="8" w:space="0" w:color="44546A"/>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Instructions for uploading in eSubmission  (if applicable)</w:t>
            </w:r>
          </w:p>
        </w:tc>
      </w:tr>
      <w:tr>
        <w:trPr>
          <w:trHeight w:val="233" w:hRule="atLeast"/>
        </w:trPr>
        <w:tc>
          <w:tcPr>
            <w:tcW w:w="1526" w:type="dxa"/>
            <w:vMerge w:val="continue"/>
            <w:tcBorders>
              <w:top w:val="single" w:sz="8" w:space="0" w:color="44546A"/>
              <w:left w:val="single" w:sz="8" w:space="0" w:color="44546A"/>
              <w:bottom w:val="single" w:sz="8" w:space="0" w:color="5B9BD5"/>
              <w:right w:val="single" w:sz="8" w:space="0" w:color="44546A"/>
            </w:tcBorders>
            <w:tcMar>
              <w:left w:w="10" w:type="dxa"/>
              <w:right w:w="10" w:type="dxa"/>
            </w:tcMar>
            <w:vAlign w:val="center"/>
          </w:tcPr>
          <w:p>
            <w:pPr>
              <w:pStyle w:val="Normal"/>
              <w:spacing w:lineRule="auto" w:line="259" w:before="0" w:after="0"/>
              <w:ind w:left="0"/>
              <w:jc w:val="left"/>
              <w:rPr>
                <w:rFonts w:ascii="Calibri" w:hAnsi="Calibri"/>
                <w:color w:val="FFFFFF"/>
                <w:sz w:val="20"/>
                <w:highlight w:val="none"/>
                <w:shd w:fill="auto" w:val="clear"/>
                <w:lang w:eastAsia="en-GB"/>
              </w:rPr>
            </w:pPr>
            <w:r>
              <w:rPr>
                <w:rFonts w:ascii="Calibri" w:hAnsi="Calibri"/>
                <w:color w:val="FFFFFF"/>
                <w:sz w:val="20"/>
                <w:shd w:fill="auto" w:val="clear"/>
                <w:lang w:eastAsia="en-GB"/>
              </w:rPr>
            </w:r>
          </w:p>
        </w:tc>
        <w:tc>
          <w:tcPr>
            <w:tcW w:w="1134" w:type="dxa"/>
            <w:vMerge w:val="continue"/>
            <w:tcBorders>
              <w:top w:val="single" w:sz="8" w:space="0" w:color="44546A"/>
              <w:bottom w:val="single" w:sz="8" w:space="0" w:color="5B9BD5"/>
              <w:right w:val="single" w:sz="8" w:space="0" w:color="44546A"/>
            </w:tcBorders>
            <w:tcMar>
              <w:left w:w="10" w:type="dxa"/>
              <w:right w:w="10" w:type="dxa"/>
            </w:tcMar>
            <w:vAlign w:val="center"/>
          </w:tcPr>
          <w:p>
            <w:pPr>
              <w:pStyle w:val="Normal"/>
              <w:spacing w:lineRule="auto" w:line="259" w:before="0" w:after="0"/>
              <w:ind w:left="0"/>
              <w:jc w:val="left"/>
              <w:rPr>
                <w:rFonts w:ascii="Calibri" w:hAnsi="Calibri"/>
                <w:b/>
                <w:bCs/>
                <w:color w:val="FFFFFF"/>
                <w:sz w:val="20"/>
                <w:highlight w:val="none"/>
                <w:shd w:fill="auto" w:val="clear"/>
                <w:lang w:eastAsia="en-GB"/>
              </w:rPr>
            </w:pPr>
            <w:r>
              <w:rPr>
                <w:rFonts w:ascii="Calibri" w:hAnsi="Calibri"/>
                <w:b/>
                <w:bCs/>
                <w:color w:val="FFFFFF"/>
                <w:sz w:val="20"/>
                <w:shd w:fill="auto" w:val="clear"/>
                <w:lang w:eastAsia="en-GB"/>
              </w:rPr>
            </w:r>
          </w:p>
        </w:tc>
        <w:tc>
          <w:tcPr>
            <w:tcW w:w="992" w:type="dxa"/>
            <w:tcBorders>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Group leader</w:t>
            </w:r>
          </w:p>
        </w:tc>
        <w:tc>
          <w:tcPr>
            <w:tcW w:w="1134" w:type="dxa"/>
            <w:tcBorders>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Member of the group</w:t>
            </w:r>
          </w:p>
        </w:tc>
        <w:tc>
          <w:tcPr>
            <w:tcW w:w="1276" w:type="dxa"/>
            <w:vMerge w:val="continue"/>
            <w:tcBorders>
              <w:bottom w:val="single" w:sz="8" w:space="0" w:color="5B9BD5"/>
              <w:right w:val="single" w:sz="8" w:space="0" w:color="44546A"/>
            </w:tcBorders>
            <w:tcMar>
              <w:left w:w="10" w:type="dxa"/>
              <w:right w:w="10" w:type="dxa"/>
            </w:tcMar>
            <w:vAlign w:val="center"/>
          </w:tcPr>
          <w:p>
            <w:pPr>
              <w:pStyle w:val="Normal"/>
              <w:spacing w:lineRule="auto" w:line="259" w:before="0" w:after="0"/>
              <w:ind w:left="0"/>
              <w:jc w:val="left"/>
              <w:rPr>
                <w:rFonts w:ascii="Calibri" w:hAnsi="Calibri"/>
                <w:b/>
                <w:bCs/>
                <w:color w:val="FFFFFF"/>
                <w:sz w:val="20"/>
                <w:highlight w:val="none"/>
                <w:shd w:fill="auto" w:val="clear"/>
                <w:lang w:eastAsia="en-GB"/>
              </w:rPr>
            </w:pPr>
            <w:r>
              <w:rPr>
                <w:rFonts w:ascii="Calibri" w:hAnsi="Calibri"/>
                <w:b/>
                <w:bCs/>
                <w:color w:val="FFFFFF"/>
                <w:sz w:val="20"/>
                <w:shd w:fill="auto" w:val="clear"/>
                <w:lang w:eastAsia="en-GB"/>
              </w:rPr>
            </w:r>
          </w:p>
        </w:tc>
        <w:tc>
          <w:tcPr>
            <w:tcW w:w="992" w:type="dxa"/>
            <w:vMerge w:val="continue"/>
            <w:tcBorders>
              <w:top w:val="single" w:sz="8" w:space="0" w:color="44546A"/>
              <w:bottom w:val="single" w:sz="8" w:space="0" w:color="5B9BD5"/>
              <w:right w:val="single" w:sz="8" w:space="0" w:color="44546A"/>
            </w:tcBorders>
            <w:tcMar>
              <w:left w:w="10" w:type="dxa"/>
              <w:right w:w="10" w:type="dxa"/>
            </w:tcMar>
            <w:vAlign w:val="center"/>
          </w:tcPr>
          <w:p>
            <w:pPr>
              <w:pStyle w:val="Normal"/>
              <w:spacing w:lineRule="auto" w:line="259" w:before="0" w:after="0"/>
              <w:ind w:left="0"/>
              <w:jc w:val="left"/>
              <w:rPr>
                <w:rFonts w:ascii="Calibri" w:hAnsi="Calibri"/>
                <w:b/>
                <w:bCs/>
                <w:color w:val="FFFFFF"/>
                <w:sz w:val="20"/>
                <w:highlight w:val="none"/>
                <w:shd w:fill="auto" w:val="clear"/>
                <w:lang w:eastAsia="en-GB"/>
              </w:rPr>
            </w:pPr>
            <w:r>
              <w:rPr>
                <w:rFonts w:ascii="Calibri" w:hAnsi="Calibri"/>
                <w:b/>
                <w:bCs/>
                <w:color w:val="FFFFFF"/>
                <w:sz w:val="20"/>
                <w:shd w:fill="auto" w:val="clear"/>
                <w:lang w:eastAsia="en-GB"/>
              </w:rPr>
            </w:r>
          </w:p>
        </w:tc>
        <w:tc>
          <w:tcPr>
            <w:tcW w:w="1525" w:type="dxa"/>
            <w:vMerge w:val="continue"/>
            <w:tcBorders>
              <w:top w:val="single" w:sz="8" w:space="0" w:color="44546A"/>
              <w:bottom w:val="single" w:sz="8" w:space="0" w:color="5B9BD5"/>
              <w:right w:val="single" w:sz="8" w:space="0" w:color="44546A"/>
            </w:tcBorders>
            <w:tcMar>
              <w:left w:w="10" w:type="dxa"/>
              <w:right w:w="10" w:type="dxa"/>
            </w:tcMar>
            <w:vAlign w:val="center"/>
          </w:tcPr>
          <w:p>
            <w:pPr>
              <w:pStyle w:val="Normal"/>
              <w:spacing w:lineRule="auto" w:line="259" w:before="0" w:after="0"/>
              <w:ind w:left="0"/>
              <w:jc w:val="left"/>
              <w:rPr>
                <w:rFonts w:ascii="Calibri" w:hAnsi="Calibri"/>
                <w:b/>
                <w:bCs/>
                <w:color w:val="FFFFFF"/>
                <w:sz w:val="20"/>
                <w:highlight w:val="none"/>
                <w:shd w:fill="auto" w:val="clear"/>
                <w:lang w:eastAsia="en-GB"/>
              </w:rPr>
            </w:pPr>
            <w:r>
              <w:rPr>
                <w:rFonts w:ascii="Calibri" w:hAnsi="Calibri"/>
                <w:b/>
                <w:bCs/>
                <w:color w:val="FFFFFF"/>
                <w:sz w:val="20"/>
                <w:shd w:fill="auto" w:val="clear"/>
                <w:lang w:eastAsia="en-GB"/>
              </w:rPr>
            </w:r>
          </w:p>
        </w:tc>
        <w:tc>
          <w:tcPr>
            <w:tcW w:w="2870" w:type="dxa"/>
            <w:tcBorders>
              <w:bottom w:val="single" w:sz="8" w:space="0" w:color="5B9BD5"/>
              <w:right w:val="single" w:sz="8" w:space="0" w:color="44546A"/>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How to name the file?</w:t>
            </w:r>
          </w:p>
        </w:tc>
        <w:tc>
          <w:tcPr>
            <w:tcW w:w="2723" w:type="dxa"/>
            <w:tcBorders>
              <w:bottom w:val="single" w:sz="8" w:space="0" w:color="5B9BD5"/>
              <w:right w:val="single" w:sz="8" w:space="0" w:color="5B9BD5"/>
            </w:tcBorders>
            <w:shd w:color="auto" w:fill="5B9BD5" w:val="clear"/>
          </w:tcPr>
          <w:p>
            <w:pPr>
              <w:pStyle w:val="Normal"/>
              <w:spacing w:beforeAutospacing="1" w:after="0"/>
              <w:ind w:left="0"/>
              <w:jc w:val="center"/>
              <w:rPr>
                <w:highlight w:val="none"/>
                <w:shd w:fill="auto" w:val="clear"/>
              </w:rPr>
            </w:pPr>
            <w:r>
              <w:rPr>
                <w:rFonts w:eastAsia="Calibri" w:ascii="Calibri" w:hAnsi="Calibri"/>
                <w:b/>
                <w:bCs/>
                <w:color w:val="FFFFFF"/>
                <w:szCs w:val="22"/>
                <w:shd w:fill="auto" w:val="clear"/>
                <w:lang w:eastAsia="en-GB"/>
              </w:rPr>
              <w:t>Where to upload?</w:t>
            </w:r>
          </w:p>
        </w:tc>
      </w:tr>
      <w:tr>
        <w:trPr>
          <w:trHeight w:val="233" w:hRule="atLeast"/>
        </w:trPr>
        <w:tc>
          <w:tcPr>
            <w:tcW w:w="1526" w:type="dxa"/>
            <w:tcBorders>
              <w:left w:val="single" w:sz="8" w:space="0" w:color="5B9BD5"/>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b/>
                <w:bCs/>
                <w:szCs w:val="22"/>
                <w:shd w:fill="auto" w:val="clear"/>
                <w:lang w:eastAsia="en-GB"/>
              </w:rPr>
              <w:t xml:space="preserve">Tender form with declaration of tenderer </w:t>
            </w:r>
            <w:r>
              <w:rPr>
                <w:rFonts w:eastAsia="Calibri" w:ascii="Calibri" w:hAnsi="Calibri"/>
                <w:szCs w:val="22"/>
                <w:shd w:fill="auto" w:val="clear"/>
                <w:lang w:eastAsia="en-GB"/>
              </w:rPr>
              <w:t>(annex d4c)</w:t>
            </w:r>
          </w:p>
        </w:tc>
        <w:tc>
          <w:tcPr>
            <w:tcW w:w="1134" w:type="dxa"/>
            <w:tcBorders>
              <w:bottom w:val="single" w:sz="4" w:space="0" w:color="000000"/>
              <w:right w:val="single" w:sz="8" w:space="0" w:color="44546A"/>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992" w:type="dxa"/>
            <w:tcBorders>
              <w:bottom w:val="single" w:sz="4" w:space="0" w:color="000000"/>
              <w:right w:val="single" w:sz="8" w:space="0" w:color="44546A"/>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134" w:type="dxa"/>
            <w:tcBorders>
              <w:bottom w:val="single" w:sz="4" w:space="0" w:color="000000"/>
              <w:right w:val="single" w:sz="8" w:space="0" w:color="44546A"/>
            </w:tcBorders>
          </w:tcPr>
          <w:p>
            <w:pPr>
              <w:pStyle w:val="Normal"/>
              <w:spacing w:lineRule="auto" w:line="259" w:before="120" w:after="160"/>
              <w:ind w:left="0"/>
              <w:jc w:val="center"/>
              <w:rPr>
                <w:rFonts w:ascii="MS Gothic" w:hAnsi="MS Gothic" w:eastAsia="MS Gothic"/>
                <w:sz w:val="24"/>
                <w:szCs w:val="24"/>
                <w:highlight w:val="none"/>
                <w:shd w:fill="auto" w:val="clear"/>
              </w:rPr>
            </w:pPr>
            <w:r>
              <w:rPr>
                <w:rFonts w:eastAsia="MS Gothic" w:ascii="MS Gothic" w:hAnsi="MS Gothic"/>
                <w:sz w:val="24"/>
                <w:szCs w:val="24"/>
                <w:shd w:fill="auto" w:val="clear"/>
              </w:rPr>
            </w:r>
          </w:p>
        </w:tc>
        <w:tc>
          <w:tcPr>
            <w:tcW w:w="1276" w:type="dxa"/>
            <w:tcBorders>
              <w:bottom w:val="single" w:sz="4" w:space="0" w:color="000000"/>
              <w:right w:val="single" w:sz="8" w:space="0" w:color="44546A"/>
            </w:tcBorders>
          </w:tcPr>
          <w:p>
            <w:pPr>
              <w:pStyle w:val="Normal"/>
              <w:spacing w:lineRule="auto" w:line="259" w:before="120" w:after="160"/>
              <w:ind w:left="0"/>
              <w:jc w:val="center"/>
              <w:rPr>
                <w:rFonts w:ascii="MS Gothic" w:hAnsi="MS Gothic" w:eastAsia="MS Gothic"/>
                <w:sz w:val="24"/>
                <w:szCs w:val="24"/>
                <w:highlight w:val="none"/>
                <w:shd w:fill="auto" w:val="clear"/>
              </w:rPr>
            </w:pPr>
            <w:r>
              <w:rPr>
                <w:rFonts w:eastAsia="MS Gothic" w:ascii="MS Gothic" w:hAnsi="MS Gothic"/>
                <w:sz w:val="24"/>
                <w:szCs w:val="24"/>
                <w:shd w:fill="auto" w:val="clear"/>
              </w:rPr>
            </w:r>
          </w:p>
        </w:tc>
        <w:tc>
          <w:tcPr>
            <w:tcW w:w="992" w:type="dxa"/>
            <w:tcBorders>
              <w:bottom w:val="single" w:sz="4" w:space="0" w:color="000000"/>
              <w:right w:val="single" w:sz="8" w:space="0" w:color="44546A"/>
            </w:tcBorders>
          </w:tcPr>
          <w:p>
            <w:pPr>
              <w:pStyle w:val="Normal"/>
              <w:spacing w:lineRule="auto" w:line="259" w:before="120" w:after="160"/>
              <w:ind w:left="0"/>
              <w:jc w:val="center"/>
              <w:rPr>
                <w:rFonts w:ascii="MS Gothic" w:hAnsi="MS Gothic" w:eastAsia="MS Gothic"/>
                <w:sz w:val="24"/>
                <w:szCs w:val="24"/>
                <w:highlight w:val="none"/>
                <w:shd w:fill="auto" w:val="clear"/>
              </w:rPr>
            </w:pPr>
            <w:r>
              <w:rPr>
                <w:rFonts w:eastAsia="MS Gothic" w:ascii="MS Gothic" w:hAnsi="MS Gothic"/>
                <w:sz w:val="24"/>
                <w:szCs w:val="24"/>
                <w:shd w:fill="auto" w:val="clear"/>
              </w:rPr>
            </w:r>
          </w:p>
        </w:tc>
        <w:tc>
          <w:tcPr>
            <w:tcW w:w="1525" w:type="dxa"/>
            <w:tcBorders>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bottom w:val="single" w:sz="4" w:space="0" w:color="000000"/>
              <w:right w:val="single" w:sz="8" w:space="0" w:color="44546A"/>
            </w:tcBorders>
          </w:tcPr>
          <w:p>
            <w:pPr>
              <w:pStyle w:val="Normal"/>
              <w:spacing w:lineRule="auto" w:line="259" w:before="0" w:after="160"/>
              <w:ind w:left="0"/>
              <w:jc w:val="center"/>
              <w:rPr>
                <w:highlight w:val="none"/>
                <w:shd w:fill="auto" w:val="clear"/>
              </w:rPr>
            </w:pPr>
            <w:r>
              <w:rPr>
                <w:rFonts w:eastAsia="Calibri" w:ascii="Calibri" w:hAnsi="Calibri"/>
                <w:szCs w:val="22"/>
                <w:shd w:fill="auto" w:val="clear"/>
              </w:rPr>
              <w:t>‘</w:t>
            </w:r>
            <w:r>
              <w:rPr>
                <w:rFonts w:eastAsia="Calibri" w:ascii="Calibri" w:hAnsi="Calibri"/>
                <w:szCs w:val="22"/>
                <w:shd w:fill="auto" w:val="clear"/>
              </w:rPr>
              <w:t>Tender form’</w:t>
            </w:r>
          </w:p>
        </w:tc>
        <w:tc>
          <w:tcPr>
            <w:tcW w:w="2723" w:type="dxa"/>
            <w:tcBorders>
              <w:bottom w:val="single" w:sz="4" w:space="0" w:color="000000"/>
              <w:right w:val="single" w:sz="8" w:space="0" w:color="5B9BD5"/>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NA</w:t>
            </w:r>
          </w:p>
        </w:tc>
      </w:tr>
      <w:tr>
        <w:trPr>
          <w:trHeight w:val="233" w:hRule="atLeast"/>
        </w:trPr>
        <w:tc>
          <w:tcPr>
            <w:tcW w:w="1526" w:type="dxa"/>
            <w:tcBorders>
              <w:top w:val="single" w:sz="4" w:space="0" w:color="000000"/>
              <w:left w:val="single" w:sz="4" w:space="0" w:color="000000"/>
              <w:bottom w:val="single" w:sz="4" w:space="0" w:color="000000"/>
              <w:right w:val="single" w:sz="4" w:space="0" w:color="000000"/>
            </w:tcBorders>
          </w:tcPr>
          <w:p>
            <w:pPr>
              <w:pStyle w:val="Normal"/>
              <w:spacing w:beforeAutospacing="1" w:afterAutospacing="1"/>
              <w:ind w:left="0"/>
              <w:jc w:val="left"/>
              <w:rPr>
                <w:highlight w:val="none"/>
                <w:shd w:fill="auto" w:val="clear"/>
              </w:rPr>
            </w:pPr>
            <w:r>
              <w:rPr>
                <w:rFonts w:eastAsia="Calibri" w:ascii="Calibri" w:hAnsi="Calibri"/>
                <w:b/>
                <w:bCs/>
                <w:szCs w:val="22"/>
                <w:shd w:fill="auto" w:val="clear"/>
                <w:lang w:eastAsia="en-GB"/>
              </w:rPr>
              <w:t>Declaration on Honour on Exclusion and Selection Criteria</w:t>
            </w:r>
          </w:p>
          <w:p>
            <w:pPr>
              <w:pStyle w:val="Normal"/>
              <w:spacing w:beforeAutospacing="1" w:after="0"/>
              <w:ind w:left="0"/>
              <w:jc w:val="left"/>
              <w:rPr>
                <w:highlight w:val="none"/>
                <w:shd w:fill="auto" w:val="clear"/>
              </w:rPr>
            </w:pPr>
            <w:r>
              <w:rPr>
                <w:rFonts w:eastAsia="Calibri" w:ascii="Calibri" w:hAnsi="Calibri"/>
                <w:szCs w:val="22"/>
                <w:shd w:fill="auto" w:val="clear"/>
                <w:lang w:eastAsia="en-GB"/>
              </w:rPr>
              <w:t>(annex a14a)</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525"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60"/>
              <w:ind w:left="0"/>
              <w:jc w:val="center"/>
              <w:rPr>
                <w:highlight w:val="none"/>
                <w:shd w:fill="auto" w:val="clear"/>
              </w:rPr>
            </w:pPr>
            <w:r>
              <w:rPr>
                <w:rFonts w:eastAsia="Calibri" w:ascii="Calibri" w:hAnsi="Calibri"/>
                <w:szCs w:val="22"/>
                <w:shd w:fill="auto" w:val="clear"/>
              </w:rPr>
              <w:t>'Declaration on Honour'</w:t>
            </w:r>
          </w:p>
        </w:tc>
        <w:tc>
          <w:tcPr>
            <w:tcW w:w="2723"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NA</w:t>
            </w:r>
          </w:p>
        </w:tc>
      </w:tr>
      <w:tr>
        <w:trPr>
          <w:trHeight w:val="233" w:hRule="atLeast"/>
        </w:trPr>
        <w:tc>
          <w:tcPr>
            <w:tcW w:w="1526" w:type="dxa"/>
            <w:tcBorders>
              <w:top w:val="single" w:sz="4" w:space="0" w:color="000000"/>
              <w:left w:val="single" w:sz="4" w:space="0" w:color="000000"/>
              <w:bottom w:val="single" w:sz="4" w:space="0" w:color="000000"/>
              <w:right w:val="single" w:sz="4" w:space="0" w:color="000000"/>
            </w:tcBorders>
          </w:tcPr>
          <w:p>
            <w:pPr>
              <w:pStyle w:val="Normal"/>
              <w:spacing w:beforeAutospacing="1" w:afterAutospacing="1"/>
              <w:ind w:left="0"/>
              <w:jc w:val="left"/>
              <w:rPr>
                <w:highlight w:val="none"/>
                <w:shd w:fill="auto" w:val="clear"/>
              </w:rPr>
            </w:pPr>
            <w:r>
              <w:rPr>
                <w:rFonts w:eastAsia="Calibri" w:ascii="Calibri" w:hAnsi="Calibri"/>
                <w:b/>
                <w:bCs/>
                <w:szCs w:val="22"/>
                <w:shd w:fill="auto" w:val="clear"/>
                <w:lang w:eastAsia="en-GB"/>
              </w:rPr>
              <w:t>Power of attorney</w:t>
            </w:r>
          </w:p>
          <w:p>
            <w:pPr>
              <w:pStyle w:val="Normal"/>
              <w:spacing w:beforeAutospacing="1" w:afterAutospacing="1"/>
              <w:ind w:left="0"/>
              <w:jc w:val="left"/>
              <w:rPr>
                <w:highlight w:val="none"/>
                <w:shd w:fill="auto" w:val="clear"/>
              </w:rPr>
            </w:pPr>
            <w:r>
              <w:rPr>
                <w:rFonts w:eastAsia="Calibri" w:ascii="Calibri" w:hAnsi="Calibri"/>
                <w:b/>
                <w:bCs/>
                <w:szCs w:val="22"/>
                <w:shd w:fill="auto" w:val="clear"/>
                <w:lang w:eastAsia="en-GB"/>
              </w:rPr>
              <w:t>(</w:t>
            </w:r>
            <w:r>
              <w:rPr>
                <w:rFonts w:eastAsia="Calibri" w:ascii="Calibri" w:hAnsi="Calibri"/>
                <w:b/>
                <w:bCs/>
                <w:szCs w:val="22"/>
                <w:shd w:fill="auto" w:val="clear"/>
                <w:lang w:val="fr-BE" w:eastAsia="en-GB"/>
              </w:rPr>
              <w:t>Form 4.3)</w:t>
            </w:r>
          </w:p>
          <w:p>
            <w:pPr>
              <w:pStyle w:val="Normal"/>
              <w:spacing w:beforeAutospacing="1" w:after="0"/>
              <w:ind w:left="0"/>
              <w:jc w:val="left"/>
              <w:rPr>
                <w:rFonts w:ascii="Calibri" w:hAnsi="Calibri" w:eastAsia="Calibri"/>
                <w:b/>
                <w:bCs/>
                <w:szCs w:val="22"/>
                <w:highlight w:val="none"/>
                <w:shd w:fill="auto" w:val="clear"/>
                <w:lang w:eastAsia="en-GB"/>
              </w:rPr>
            </w:pPr>
            <w:r>
              <w:rPr>
                <w:rFonts w:eastAsia="Calibri" w:ascii="Calibri" w:hAnsi="Calibri"/>
                <w:b/>
                <w:bCs/>
                <w:szCs w:val="22"/>
                <w:shd w:fill="auto" w:val="clear"/>
                <w:lang w:eastAsia="en-GB"/>
              </w:rPr>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1134"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rFonts w:ascii="Calibri" w:hAnsi="Calibri" w:eastAsia="Calibri"/>
                <w:sz w:val="24"/>
                <w:szCs w:val="24"/>
                <w:highlight w:val="none"/>
                <w:shd w:fill="auto" w:val="clear"/>
                <w:lang w:eastAsia="en-GB"/>
              </w:rPr>
            </w:pPr>
            <w:r>
              <w:rPr>
                <w:rFonts w:eastAsia="Calibri" w:ascii="Calibri" w:hAnsi="Calibri"/>
                <w:sz w:val="24"/>
                <w:szCs w:val="24"/>
                <w:shd w:fill="auto" w:val="clear"/>
                <w:lang w:eastAsia="en-GB"/>
              </w:rPr>
            </w:r>
          </w:p>
        </w:tc>
        <w:tc>
          <w:tcPr>
            <w:tcW w:w="992" w:type="dxa"/>
            <w:tcBorders>
              <w:top w:val="single" w:sz="4" w:space="0" w:color="000000"/>
              <w:left w:val="single" w:sz="4" w:space="0" w:color="000000"/>
              <w:bottom w:val="single" w:sz="4" w:space="0" w:color="000000"/>
              <w:right w:val="single" w:sz="4" w:space="0" w:color="000000"/>
            </w:tcBorders>
          </w:tcPr>
          <w:p>
            <w:pPr>
              <w:pStyle w:val="Normal"/>
              <w:spacing w:before="120" w:after="0"/>
              <w:ind w:left="0"/>
              <w:jc w:val="center"/>
              <w:rPr>
                <w:rFonts w:ascii="Calibri" w:hAnsi="Calibri" w:eastAsia="Calibri"/>
                <w:sz w:val="24"/>
                <w:szCs w:val="24"/>
                <w:highlight w:val="none"/>
                <w:shd w:fill="auto" w:val="clear"/>
                <w:lang w:eastAsia="en-GB"/>
              </w:rPr>
            </w:pPr>
            <w:r>
              <w:rPr>
                <w:rFonts w:eastAsia="Calibri" w:ascii="Calibri" w:hAnsi="Calibri"/>
                <w:sz w:val="24"/>
                <w:szCs w:val="24"/>
                <w:shd w:fill="auto" w:val="clear"/>
                <w:lang w:eastAsia="en-GB"/>
              </w:rPr>
            </w:r>
          </w:p>
        </w:tc>
        <w:tc>
          <w:tcPr>
            <w:tcW w:w="1525"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60"/>
              <w:ind w:left="0"/>
              <w:jc w:val="center"/>
              <w:rPr>
                <w:highlight w:val="none"/>
                <w:shd w:fill="auto" w:val="clear"/>
              </w:rPr>
            </w:pPr>
            <w:r>
              <w:rPr>
                <w:rFonts w:eastAsia="Calibri" w:ascii="Calibri" w:hAnsi="Calibri"/>
                <w:szCs w:val="22"/>
                <w:shd w:fill="auto" w:val="clear"/>
              </w:rPr>
              <w:t>'Power of attorney'</w:t>
            </w:r>
          </w:p>
          <w:p>
            <w:pPr>
              <w:pStyle w:val="Normal"/>
              <w:spacing w:beforeAutospacing="1" w:after="0"/>
              <w:ind w:left="0"/>
              <w:jc w:val="center"/>
              <w:rPr>
                <w:rFonts w:ascii="Calibri" w:hAnsi="Calibri" w:eastAsia="Calibri"/>
                <w:szCs w:val="22"/>
                <w:highlight w:val="none"/>
                <w:shd w:fill="auto" w:val="clear"/>
                <w:lang w:eastAsia="en-GB"/>
              </w:rPr>
            </w:pPr>
            <w:r>
              <w:rPr>
                <w:rFonts w:eastAsia="Calibri" w:ascii="Calibri" w:hAnsi="Calibri"/>
                <w:szCs w:val="22"/>
                <w:shd w:fill="auto" w:val="clear"/>
                <w:lang w:eastAsia="en-GB"/>
              </w:rPr>
            </w:r>
          </w:p>
        </w:tc>
        <w:tc>
          <w:tcPr>
            <w:tcW w:w="2723"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rPr>
                <w:highlight w:val="none"/>
                <w:shd w:fill="auto" w:val="clear"/>
              </w:rPr>
            </w:pPr>
            <w:r>
              <w:rPr>
                <w:rFonts w:eastAsia="Calibri" w:ascii="Calibri" w:hAnsi="Calibri"/>
                <w:szCs w:val="22"/>
                <w:shd w:fill="auto" w:val="clear"/>
                <w:lang w:eastAsia="en-GB"/>
              </w:rPr>
              <w:t>NA</w:t>
            </w:r>
          </w:p>
        </w:tc>
      </w:tr>
      <w:tr>
        <w:trPr>
          <w:trHeight w:val="233" w:hRule="atLeast"/>
        </w:trPr>
        <w:tc>
          <w:tcPr>
            <w:tcW w:w="1526" w:type="dxa"/>
            <w:tcBorders>
              <w:top w:val="single" w:sz="4" w:space="0" w:color="000000"/>
              <w:left w:val="single" w:sz="4" w:space="0" w:color="000000"/>
              <w:bottom w:val="single" w:sz="4" w:space="0" w:color="000000"/>
              <w:right w:val="single" w:sz="8" w:space="0" w:color="44546A"/>
            </w:tcBorders>
          </w:tcPr>
          <w:p>
            <w:pPr>
              <w:pStyle w:val="Normal"/>
              <w:spacing w:beforeAutospacing="1" w:afterAutospacing="1"/>
              <w:ind w:left="0"/>
              <w:jc w:val="left"/>
              <w:rPr>
                <w:highlight w:val="none"/>
                <w:shd w:fill="auto" w:val="clear"/>
              </w:rPr>
            </w:pPr>
            <w:r>
              <w:rPr>
                <w:rFonts w:eastAsia="Calibri" w:ascii="Calibri" w:hAnsi="Calibri"/>
                <w:b/>
                <w:bCs/>
                <w:szCs w:val="22"/>
                <w:shd w:fill="auto" w:val="clear"/>
                <w:lang w:eastAsia="en-GB"/>
              </w:rPr>
              <w:t>Economic and financial capacity</w:t>
            </w:r>
          </w:p>
          <w:p>
            <w:pPr>
              <w:pStyle w:val="Normal"/>
              <w:spacing w:beforeAutospacing="1" w:after="0"/>
              <w:ind w:left="0"/>
              <w:jc w:val="left"/>
              <w:rPr>
                <w:highlight w:val="none"/>
                <w:shd w:fill="auto" w:val="clear"/>
              </w:rPr>
            </w:pPr>
            <w:r>
              <w:rPr>
                <w:rFonts w:eastAsia="Calibri" w:ascii="Calibri" w:hAnsi="Calibri"/>
                <w:b/>
                <w:bCs/>
                <w:szCs w:val="22"/>
                <w:shd w:fill="auto" w:val="clear"/>
                <w:lang w:val="en-IE" w:eastAsia="en-GB"/>
              </w:rPr>
              <w:t>Form 4.4</w:t>
            </w:r>
          </w:p>
        </w:tc>
        <w:tc>
          <w:tcPr>
            <w:tcW w:w="1134" w:type="dxa"/>
            <w:tcBorders>
              <w:top w:val="single" w:sz="4" w:space="0" w:color="000000"/>
              <w:bottom w:val="single" w:sz="4" w:space="0" w:color="000000"/>
              <w:right w:val="single" w:sz="8" w:space="0" w:color="44546A"/>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992" w:type="dxa"/>
            <w:tcBorders>
              <w:top w:val="single" w:sz="4" w:space="0" w:color="000000"/>
              <w:bottom w:val="single" w:sz="4" w:space="0" w:color="000000"/>
              <w:right w:val="single" w:sz="8" w:space="0" w:color="44546A"/>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134" w:type="dxa"/>
            <w:tcBorders>
              <w:top w:val="single" w:sz="4" w:space="0" w:color="000000"/>
              <w:bottom w:val="single" w:sz="4" w:space="0" w:color="000000"/>
              <w:right w:val="single" w:sz="8" w:space="0" w:color="44546A"/>
            </w:tcBorders>
          </w:tcPr>
          <w:p>
            <w:pPr>
              <w:pStyle w:val="Normal"/>
              <w:spacing w:before="120" w:after="0"/>
              <w:ind w:left="0"/>
              <w:jc w:val="center"/>
              <w:rPr>
                <w:rFonts w:ascii="MS Gothic" w:hAnsi="MS Gothic" w:eastAsia="MS Gothic"/>
                <w:sz w:val="24"/>
                <w:szCs w:val="24"/>
                <w:highlight w:val="none"/>
                <w:shd w:fill="auto" w:val="clear"/>
                <w:lang w:eastAsia="en-GB"/>
              </w:rPr>
            </w:pPr>
            <w:r>
              <w:rPr>
                <w:rFonts w:eastAsia="MS Gothic" w:ascii="MS Gothic" w:hAnsi="MS Gothic"/>
                <w:sz w:val="24"/>
                <w:szCs w:val="24"/>
                <w:shd w:fill="auto" w:val="clear"/>
                <w:lang w:eastAsia="en-GB"/>
              </w:rPr>
            </w:r>
          </w:p>
        </w:tc>
        <w:tc>
          <w:tcPr>
            <w:tcW w:w="1276" w:type="dxa"/>
            <w:tcBorders>
              <w:top w:val="single" w:sz="4" w:space="0" w:color="000000"/>
              <w:bottom w:val="single" w:sz="4" w:space="0" w:color="000000"/>
              <w:right w:val="single" w:sz="8" w:space="0" w:color="44546A"/>
            </w:tcBorders>
          </w:tcPr>
          <w:p>
            <w:pPr>
              <w:pStyle w:val="Normal"/>
              <w:spacing w:lineRule="auto" w:line="259" w:before="120" w:after="160"/>
              <w:ind w:left="0"/>
              <w:jc w:val="center"/>
              <w:rPr>
                <w:rFonts w:ascii="MS Gothic" w:hAnsi="MS Gothic" w:eastAsia="MS Gothic"/>
                <w:color w:themeColor="text1" w:val="000000"/>
                <w:sz w:val="24"/>
                <w:szCs w:val="24"/>
                <w:highlight w:val="none"/>
                <w:shd w:fill="auto" w:val="clear"/>
              </w:rPr>
            </w:pPr>
            <w:r>
              <w:rPr>
                <w:rFonts w:eastAsia="MS Gothic" w:ascii="MS Gothic" w:hAnsi="MS Gothic"/>
                <w:color w:themeColor="text1" w:val="000000"/>
                <w:sz w:val="24"/>
                <w:szCs w:val="24"/>
                <w:shd w:fill="auto" w:val="clear"/>
              </w:rPr>
            </w:r>
          </w:p>
        </w:tc>
        <w:tc>
          <w:tcPr>
            <w:tcW w:w="992" w:type="dxa"/>
            <w:tcBorders>
              <w:top w:val="single" w:sz="4" w:space="0" w:color="000000"/>
              <w:bottom w:val="single" w:sz="4" w:space="0" w:color="000000"/>
              <w:right w:val="single" w:sz="8" w:space="0" w:color="44546A"/>
            </w:tcBorders>
          </w:tcPr>
          <w:p>
            <w:pPr>
              <w:pStyle w:val="Normal"/>
              <w:spacing w:before="120" w:after="0"/>
              <w:ind w:left="0"/>
              <w:jc w:val="center"/>
              <w:rPr>
                <w:rFonts w:ascii="MS Gothic" w:hAnsi="MS Gothic" w:eastAsia="MS Gothic"/>
                <w:color w:themeColor="text1" w:val="000000"/>
                <w:sz w:val="24"/>
                <w:szCs w:val="24"/>
                <w:highlight w:val="none"/>
                <w:shd w:fill="auto" w:val="clear"/>
                <w:lang w:eastAsia="en-GB"/>
              </w:rPr>
            </w:pPr>
            <w:r>
              <w:rPr>
                <w:rFonts w:eastAsia="MS Gothic" w:ascii="MS Gothic" w:hAnsi="MS Gothic"/>
                <w:color w:themeColor="text1" w:val="000000"/>
                <w:sz w:val="24"/>
                <w:szCs w:val="24"/>
                <w:shd w:fill="auto" w:val="clear"/>
                <w:lang w:eastAsia="en-GB"/>
              </w:rPr>
            </w:r>
          </w:p>
        </w:tc>
        <w:tc>
          <w:tcPr>
            <w:tcW w:w="1525" w:type="dxa"/>
            <w:tcBorders>
              <w:top w:val="single" w:sz="4" w:space="0" w:color="000000"/>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Calibri" w:ascii="Calibri" w:hAnsi="Calibri"/>
                <w:bCs/>
                <w:i/>
                <w:szCs w:val="22"/>
                <w:shd w:fill="auto" w:val="clear"/>
                <w:lang w:eastAsia="en-GB"/>
              </w:rPr>
              <w:t>‘</w:t>
            </w:r>
            <w:r>
              <w:rPr>
                <w:rFonts w:eastAsia="Calibri" w:ascii="Calibri" w:hAnsi="Calibri"/>
                <w:bCs/>
                <w:i/>
                <w:szCs w:val="22"/>
                <w:shd w:fill="auto" w:val="clear"/>
                <w:lang w:eastAsia="en-GB"/>
              </w:rPr>
              <w:t>Name to reflect the nature of the document’</w:t>
            </w:r>
          </w:p>
        </w:tc>
        <w:tc>
          <w:tcPr>
            <w:tcW w:w="2723" w:type="dxa"/>
            <w:tcBorders>
              <w:top w:val="single" w:sz="4" w:space="0" w:color="000000"/>
              <w:bottom w:val="single" w:sz="4" w:space="0" w:color="000000"/>
              <w:right w:val="single" w:sz="4" w:space="0" w:color="000000"/>
            </w:tcBorders>
          </w:tcPr>
          <w:p>
            <w:pPr>
              <w:pStyle w:val="Normal"/>
              <w:spacing w:beforeAutospacing="1" w:after="0"/>
              <w:ind w:left="0"/>
              <w:rPr>
                <w:highlight w:val="none"/>
                <w:shd w:fill="auto" w:val="clear"/>
              </w:rPr>
            </w:pPr>
            <w:r>
              <w:rPr>
                <w:rFonts w:eastAsia="Calibri" w:ascii="Calibri" w:hAnsi="Calibri"/>
                <w:bCs/>
                <w:szCs w:val="22"/>
                <w:shd w:fill="auto" w:val="clear"/>
                <w:lang w:val="en-IE" w:eastAsia="en-GB"/>
              </w:rPr>
              <w:t>NA</w:t>
            </w:r>
          </w:p>
        </w:tc>
      </w:tr>
      <w:tr>
        <w:trPr>
          <w:trHeight w:val="233" w:hRule="atLeast"/>
        </w:trPr>
        <w:tc>
          <w:tcPr>
            <w:tcW w:w="1526" w:type="dxa"/>
            <w:tcBorders>
              <w:top w:val="single" w:sz="4" w:space="0" w:color="000000"/>
              <w:left w:val="single" w:sz="8" w:space="0" w:color="44546A"/>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b/>
                <w:bCs/>
                <w:sz w:val="20"/>
                <w:shd w:fill="auto" w:val="clear"/>
                <w:lang w:eastAsia="en-GB"/>
              </w:rPr>
              <w:t>Technical and professional capacity</w:t>
            </w:r>
          </w:p>
          <w:p>
            <w:pPr>
              <w:pStyle w:val="Normal"/>
              <w:tabs>
                <w:tab w:val="clear" w:pos="720"/>
                <w:tab w:val="right" w:pos="7513" w:leader="dot"/>
                <w:tab w:val="left" w:pos="9356" w:leader="none"/>
              </w:tabs>
              <w:spacing w:before="0" w:after="0"/>
              <w:ind w:left="0"/>
              <w:jc w:val="left"/>
              <w:rPr>
                <w:highlight w:val="none"/>
                <w:shd w:fill="auto" w:val="clear"/>
              </w:rPr>
            </w:pPr>
            <w:r>
              <w:rPr>
                <w:rFonts w:eastAsia="Calibri" w:ascii="Calibri" w:hAnsi="Calibri"/>
                <w:b/>
                <w:sz w:val="20"/>
                <w:shd w:fill="auto" w:val="clear"/>
                <w:lang w:val="en-IE"/>
              </w:rPr>
              <w:t>Form 4.1,</w:t>
            </w:r>
          </w:p>
          <w:p>
            <w:pPr>
              <w:pStyle w:val="Normal"/>
              <w:tabs>
                <w:tab w:val="clear" w:pos="720"/>
                <w:tab w:val="right" w:pos="7513" w:leader="dot"/>
                <w:tab w:val="left" w:pos="9356" w:leader="none"/>
              </w:tabs>
              <w:spacing w:before="0" w:after="0"/>
              <w:ind w:left="0"/>
              <w:jc w:val="left"/>
              <w:rPr>
                <w:highlight w:val="none"/>
                <w:shd w:fill="auto" w:val="clear"/>
              </w:rPr>
            </w:pPr>
            <w:r>
              <w:rPr>
                <w:rFonts w:eastAsia="Calibri" w:ascii="Calibri" w:hAnsi="Calibri"/>
                <w:b/>
                <w:sz w:val="20"/>
                <w:shd w:fill="auto" w:val="clear"/>
                <w:lang w:val="en-IE"/>
              </w:rPr>
              <w:t>Form 4.2,</w:t>
            </w:r>
          </w:p>
          <w:p>
            <w:pPr>
              <w:pStyle w:val="Normal"/>
              <w:tabs>
                <w:tab w:val="clear" w:pos="720"/>
                <w:tab w:val="right" w:pos="7513" w:leader="dot"/>
                <w:tab w:val="left" w:pos="9356" w:leader="none"/>
              </w:tabs>
              <w:spacing w:before="0" w:after="0"/>
              <w:ind w:left="0"/>
              <w:jc w:val="left"/>
              <w:rPr>
                <w:highlight w:val="none"/>
                <w:shd w:fill="auto" w:val="clear"/>
              </w:rPr>
            </w:pPr>
            <w:r>
              <w:rPr>
                <w:rFonts w:eastAsia="Calibri" w:ascii="Calibri" w:hAnsi="Calibri"/>
                <w:b/>
                <w:sz w:val="20"/>
                <w:shd w:fill="auto" w:val="clear"/>
                <w:lang w:val="en-IE"/>
              </w:rPr>
              <w:t>Form 4.6.1.1, Form 4.6.1.2, Form 4.6.1.3, Form 4.6.2, Form 4.6.3, Form 4.6.4, Form 4.6.5.1,</w:t>
            </w:r>
          </w:p>
          <w:p>
            <w:pPr>
              <w:pStyle w:val="Normal"/>
              <w:tabs>
                <w:tab w:val="clear" w:pos="720"/>
                <w:tab w:val="right" w:pos="7513" w:leader="dot"/>
                <w:tab w:val="left" w:pos="9356" w:leader="none"/>
              </w:tabs>
              <w:spacing w:before="0" w:after="0"/>
              <w:ind w:left="0"/>
              <w:jc w:val="left"/>
              <w:rPr>
                <w:highlight w:val="none"/>
                <w:shd w:fill="auto" w:val="clear"/>
              </w:rPr>
            </w:pPr>
            <w:r>
              <w:rPr>
                <w:rFonts w:eastAsia="Calibri" w:ascii="Calibri" w:hAnsi="Calibri"/>
                <w:b/>
                <w:sz w:val="20"/>
                <w:shd w:fill="auto" w:val="clear"/>
                <w:lang w:val="en-IE"/>
              </w:rPr>
              <w:t>Form 4.6.5.2</w:t>
            </w:r>
          </w:p>
          <w:p>
            <w:pPr>
              <w:pStyle w:val="Normal"/>
              <w:tabs>
                <w:tab w:val="clear" w:pos="720"/>
                <w:tab w:val="right" w:pos="7513" w:leader="dot"/>
                <w:tab w:val="left" w:pos="9356" w:leader="none"/>
              </w:tabs>
              <w:spacing w:before="0" w:after="0"/>
              <w:ind w:left="0"/>
              <w:jc w:val="left"/>
              <w:rPr>
                <w:highlight w:val="none"/>
                <w:shd w:fill="auto" w:val="clear"/>
              </w:rPr>
            </w:pPr>
            <w:r>
              <w:rPr>
                <w:rFonts w:eastAsia="Calibri" w:ascii="Calibri" w:hAnsi="Calibri"/>
                <w:b/>
                <w:sz w:val="20"/>
                <w:shd w:fill="auto" w:val="clear"/>
                <w:lang w:val="en-IE"/>
              </w:rPr>
              <w:t>Form 4.6.6, Form 4.6.7,</w:t>
            </w:r>
            <w:r>
              <w:rPr>
                <w:rFonts w:eastAsia="Calibri" w:ascii="Calibri" w:hAnsi="Calibri"/>
                <w:sz w:val="20"/>
                <w:shd w:fill="auto" w:val="clear"/>
                <w:lang w:val="en-IE"/>
              </w:rPr>
              <w:t xml:space="preserve"> </w:t>
            </w:r>
            <w:r>
              <w:rPr>
                <w:rFonts w:eastAsia="Calibri" w:ascii="Calibri" w:hAnsi="Calibri"/>
                <w:b/>
                <w:sz w:val="20"/>
                <w:shd w:fill="auto" w:val="clear"/>
                <w:lang w:val="en-IE"/>
              </w:rPr>
              <w:t>Form 4.6.8, Form 4.6.9</w:t>
            </w:r>
          </w:p>
        </w:tc>
        <w:tc>
          <w:tcPr>
            <w:tcW w:w="1134" w:type="dxa"/>
            <w:tcBorders>
              <w:top w:val="single" w:sz="4" w:space="0" w:color="000000"/>
              <w:bottom w:val="single" w:sz="4" w:space="0" w:color="000000"/>
              <w:right w:val="single" w:sz="8" w:space="0" w:color="44546A"/>
            </w:tcBorders>
          </w:tcPr>
          <w:p>
            <w:pPr>
              <w:pStyle w:val="Normal"/>
              <w:spacing w:before="120" w:after="0"/>
              <w:ind w:left="0"/>
              <w:jc w:val="center"/>
              <w:rPr>
                <w:highlight w:val="none"/>
                <w:shd w:fill="auto" w:val="clear"/>
              </w:rPr>
            </w:pPr>
            <w:r>
              <w:rPr>
                <w:rFonts w:eastAsia="MS Gothic" w:ascii="MS Gothic" w:hAnsi="MS Gothic"/>
                <w:sz w:val="24"/>
                <w:szCs w:val="24"/>
                <w:shd w:fill="auto" w:val="clear"/>
                <w:lang w:eastAsia="en-GB"/>
              </w:rPr>
              <w:t>☒</w:t>
            </w:r>
          </w:p>
        </w:tc>
        <w:tc>
          <w:tcPr>
            <w:tcW w:w="992" w:type="dxa"/>
            <w:tcBorders>
              <w:top w:val="single" w:sz="4" w:space="0" w:color="000000"/>
              <w:bottom w:val="single" w:sz="4" w:space="0" w:color="000000"/>
              <w:right w:val="single" w:sz="8" w:space="0" w:color="44546A"/>
            </w:tcBorders>
          </w:tcPr>
          <w:p>
            <w:pPr>
              <w:pStyle w:val="Normal"/>
              <w:spacing w:lineRule="auto" w:line="259" w:before="120" w:after="160"/>
              <w:ind w:left="0"/>
              <w:jc w:val="center"/>
              <w:rPr>
                <w:highlight w:val="none"/>
                <w:shd w:fill="auto" w:val="clear"/>
              </w:rPr>
            </w:pPr>
            <w:r>
              <w:rPr>
                <w:rFonts w:eastAsia="MS Gothic" w:ascii="MS Gothic" w:hAnsi="MS Gothic"/>
                <w:sz w:val="24"/>
                <w:szCs w:val="24"/>
                <w:shd w:fill="auto" w:val="clear"/>
              </w:rPr>
              <w:t>☒</w:t>
            </w:r>
          </w:p>
        </w:tc>
        <w:tc>
          <w:tcPr>
            <w:tcW w:w="1134" w:type="dxa"/>
            <w:tcBorders>
              <w:top w:val="single" w:sz="4" w:space="0" w:color="000000"/>
              <w:bottom w:val="single" w:sz="4" w:space="0" w:color="000000"/>
              <w:right w:val="single" w:sz="8" w:space="0" w:color="44546A"/>
            </w:tcBorders>
          </w:tcPr>
          <w:p>
            <w:pPr>
              <w:pStyle w:val="Normal"/>
              <w:spacing w:before="120" w:after="0"/>
              <w:ind w:left="0"/>
              <w:jc w:val="center"/>
              <w:rPr>
                <w:rFonts w:ascii="MS Gothic" w:hAnsi="MS Gothic" w:eastAsia="MS Gothic"/>
                <w:sz w:val="24"/>
                <w:szCs w:val="24"/>
                <w:highlight w:val="none"/>
                <w:shd w:fill="auto" w:val="clear"/>
                <w:lang w:eastAsia="en-GB"/>
              </w:rPr>
            </w:pPr>
            <w:r>
              <w:rPr>
                <w:rFonts w:eastAsia="MS Gothic" w:ascii="MS Gothic" w:hAnsi="MS Gothic"/>
                <w:sz w:val="24"/>
                <w:szCs w:val="24"/>
                <w:shd w:fill="auto" w:val="clear"/>
                <w:lang w:eastAsia="en-GB"/>
              </w:rPr>
            </w:r>
          </w:p>
        </w:tc>
        <w:tc>
          <w:tcPr>
            <w:tcW w:w="1276" w:type="dxa"/>
            <w:tcBorders>
              <w:top w:val="single" w:sz="4" w:space="0" w:color="000000"/>
              <w:bottom w:val="single" w:sz="4" w:space="0" w:color="000000"/>
              <w:right w:val="single" w:sz="8" w:space="0" w:color="44546A"/>
            </w:tcBorders>
          </w:tcPr>
          <w:p>
            <w:pPr>
              <w:pStyle w:val="Normal"/>
              <w:spacing w:lineRule="auto" w:line="259" w:before="120" w:after="160"/>
              <w:ind w:left="0"/>
              <w:jc w:val="center"/>
              <w:rPr>
                <w:rFonts w:ascii="MS Gothic" w:hAnsi="MS Gothic" w:eastAsia="MS Gothic"/>
                <w:color w:themeColor="text1" w:val="000000"/>
                <w:sz w:val="24"/>
                <w:szCs w:val="24"/>
                <w:highlight w:val="none"/>
                <w:shd w:fill="auto" w:val="clear"/>
              </w:rPr>
            </w:pPr>
            <w:r>
              <w:rPr>
                <w:rFonts w:eastAsia="MS Gothic" w:ascii="MS Gothic" w:hAnsi="MS Gothic"/>
                <w:color w:themeColor="text1" w:val="000000"/>
                <w:sz w:val="24"/>
                <w:szCs w:val="24"/>
                <w:shd w:fill="auto" w:val="clear"/>
              </w:rPr>
            </w:r>
          </w:p>
        </w:tc>
        <w:tc>
          <w:tcPr>
            <w:tcW w:w="992" w:type="dxa"/>
            <w:tcBorders>
              <w:top w:val="single" w:sz="4" w:space="0" w:color="000000"/>
              <w:bottom w:val="single" w:sz="4" w:space="0" w:color="000000"/>
              <w:right w:val="single" w:sz="8" w:space="0" w:color="44546A"/>
            </w:tcBorders>
          </w:tcPr>
          <w:p>
            <w:pPr>
              <w:pStyle w:val="Normal"/>
              <w:spacing w:before="120" w:after="0"/>
              <w:ind w:left="0"/>
              <w:jc w:val="center"/>
              <w:rPr>
                <w:rFonts w:ascii="MS Gothic" w:hAnsi="MS Gothic" w:eastAsia="MS Gothic"/>
                <w:color w:themeColor="text1" w:val="000000"/>
                <w:sz w:val="24"/>
                <w:szCs w:val="24"/>
                <w:highlight w:val="none"/>
                <w:shd w:fill="auto" w:val="clear"/>
                <w:lang w:eastAsia="en-GB"/>
              </w:rPr>
            </w:pPr>
            <w:r>
              <w:rPr>
                <w:rFonts w:eastAsia="MS Gothic" w:ascii="MS Gothic" w:hAnsi="MS Gothic"/>
                <w:color w:themeColor="text1" w:val="000000"/>
                <w:sz w:val="24"/>
                <w:szCs w:val="24"/>
                <w:shd w:fill="auto" w:val="clear"/>
                <w:lang w:eastAsia="en-GB"/>
              </w:rPr>
            </w:r>
          </w:p>
        </w:tc>
        <w:tc>
          <w:tcPr>
            <w:tcW w:w="1525" w:type="dxa"/>
            <w:tcBorders>
              <w:top w:val="single" w:sz="4" w:space="0" w:color="000000"/>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Calibri" w:ascii="Calibri" w:hAnsi="Calibri"/>
                <w:bCs/>
                <w:i/>
                <w:szCs w:val="22"/>
                <w:shd w:fill="auto" w:val="clear"/>
                <w:lang w:eastAsia="en-GB"/>
              </w:rPr>
              <w:t>‘</w:t>
            </w:r>
            <w:r>
              <w:rPr>
                <w:rFonts w:eastAsia="Calibri" w:ascii="Calibri" w:hAnsi="Calibri"/>
                <w:bCs/>
                <w:i/>
                <w:szCs w:val="22"/>
                <w:shd w:fill="auto" w:val="clear"/>
                <w:lang w:eastAsia="en-GB"/>
              </w:rPr>
              <w:t>Name to identify the form’</w:t>
            </w:r>
          </w:p>
        </w:tc>
        <w:tc>
          <w:tcPr>
            <w:tcW w:w="2723" w:type="dxa"/>
            <w:tcBorders>
              <w:top w:val="single" w:sz="4" w:space="0" w:color="000000"/>
              <w:bottom w:val="single" w:sz="4" w:space="0" w:color="000000"/>
              <w:right w:val="single" w:sz="8" w:space="0" w:color="44546A"/>
            </w:tcBorders>
          </w:tcPr>
          <w:p>
            <w:pPr>
              <w:pStyle w:val="Normal"/>
              <w:spacing w:beforeAutospacing="1" w:after="0"/>
              <w:ind w:left="0"/>
              <w:rPr>
                <w:highlight w:val="none"/>
                <w:shd w:fill="auto" w:val="clear"/>
              </w:rPr>
            </w:pPr>
            <w:r>
              <w:rPr>
                <w:rFonts w:eastAsia="Calibri" w:ascii="Calibri" w:hAnsi="Calibri"/>
                <w:bCs/>
                <w:szCs w:val="22"/>
                <w:shd w:fill="auto" w:val="clear"/>
                <w:lang w:val="en-IE" w:eastAsia="en-GB"/>
              </w:rPr>
              <w:t>NA</w:t>
            </w:r>
          </w:p>
        </w:tc>
      </w:tr>
      <w:tr>
        <w:trPr>
          <w:trHeight w:val="233" w:hRule="atLeast"/>
        </w:trPr>
        <w:tc>
          <w:tcPr>
            <w:tcW w:w="1526"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60"/>
              <w:ind w:left="0"/>
              <w:jc w:val="left"/>
              <w:rPr>
                <w:highlight w:val="none"/>
                <w:shd w:fill="auto" w:val="clear"/>
              </w:rPr>
            </w:pPr>
            <w:r>
              <w:rPr>
                <w:rFonts w:eastAsia="Calibri" w:ascii="Calibri" w:hAnsi="Calibri"/>
                <w:b/>
                <w:bCs/>
                <w:szCs w:val="22"/>
                <w:shd w:fill="auto" w:val="clear"/>
              </w:rPr>
              <w:t>Other documents</w:t>
            </w:r>
          </w:p>
        </w:tc>
        <w:tc>
          <w:tcPr>
            <w:tcW w:w="5528" w:type="dxa"/>
            <w:gridSpan w:val="5"/>
            <w:tcBorders>
              <w:top w:val="single" w:sz="4" w:space="0" w:color="000000"/>
              <w:left w:val="single" w:sz="4" w:space="0" w:color="000000"/>
              <w:bottom w:val="single" w:sz="4" w:space="0" w:color="000000"/>
              <w:right w:val="single" w:sz="4" w:space="0" w:color="000000"/>
            </w:tcBorders>
          </w:tcPr>
          <w:p>
            <w:pPr>
              <w:pStyle w:val="Normal"/>
              <w:spacing w:lineRule="auto" w:line="259" w:before="0" w:after="160"/>
              <w:ind w:left="0"/>
              <w:jc w:val="center"/>
              <w:rPr>
                <w:highlight w:val="none"/>
                <w:shd w:fill="auto" w:val="clear"/>
              </w:rPr>
            </w:pPr>
            <w:r>
              <w:rPr>
                <w:rFonts w:eastAsia="Calibri" w:ascii="Calibri" w:hAnsi="Calibri"/>
                <w:b/>
                <w:bCs/>
                <w:szCs w:val="22"/>
                <w:shd w:fill="auto" w:val="clear"/>
              </w:rPr>
              <w:t>Identification form</w:t>
            </w:r>
          </w:p>
          <w:p>
            <w:pPr>
              <w:pStyle w:val="Normal"/>
              <w:spacing w:lineRule="auto" w:line="259" w:before="0" w:after="160"/>
              <w:ind w:left="0"/>
              <w:jc w:val="center"/>
              <w:rPr>
                <w:rFonts w:ascii="Calibri" w:hAnsi="Calibri" w:eastAsia="Calibri"/>
                <w:b/>
                <w:bCs/>
                <w:szCs w:val="22"/>
                <w:highlight w:val="none"/>
                <w:shd w:fill="auto" w:val="clear"/>
              </w:rPr>
            </w:pPr>
            <w:r>
              <w:rPr>
                <w:rFonts w:eastAsia="Calibri" w:ascii="Calibri" w:hAnsi="Calibri"/>
                <w:b/>
                <w:bCs/>
                <w:szCs w:val="22"/>
                <w:shd w:fill="auto" w:val="clear"/>
              </w:rPr>
            </w:r>
          </w:p>
        </w:tc>
        <w:tc>
          <w:tcPr>
            <w:tcW w:w="1525"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jc w:val="center"/>
              <w:rPr>
                <w:highlight w:val="none"/>
                <w:shd w:fill="auto" w:val="clear"/>
              </w:rPr>
            </w:pPr>
            <w:r>
              <w:rPr>
                <w:rFonts w:eastAsia="Calibri" w:ascii="Calibri" w:hAnsi="Calibri"/>
                <w:bCs/>
                <w:i/>
                <w:szCs w:val="22"/>
                <w:shd w:fill="auto" w:val="clear"/>
                <w:lang w:eastAsia="en-GB"/>
              </w:rPr>
              <w:t>‘</w:t>
            </w:r>
            <w:r>
              <w:rPr>
                <w:rFonts w:eastAsia="Calibri" w:ascii="Calibri" w:hAnsi="Calibri"/>
                <w:bCs/>
                <w:i/>
                <w:szCs w:val="22"/>
                <w:shd w:fill="auto" w:val="clear"/>
                <w:lang w:eastAsia="en-GB"/>
              </w:rPr>
              <w:t>Name to reflect the nature of the document’</w:t>
            </w:r>
          </w:p>
        </w:tc>
        <w:tc>
          <w:tcPr>
            <w:tcW w:w="2723" w:type="dxa"/>
            <w:tcBorders>
              <w:top w:val="single" w:sz="4" w:space="0" w:color="000000"/>
              <w:left w:val="single" w:sz="4" w:space="0" w:color="000000"/>
              <w:bottom w:val="single" w:sz="4" w:space="0" w:color="000000"/>
              <w:right w:val="single" w:sz="4" w:space="0" w:color="000000"/>
            </w:tcBorders>
          </w:tcPr>
          <w:p>
            <w:pPr>
              <w:pStyle w:val="Normal"/>
              <w:spacing w:beforeAutospacing="1" w:after="0"/>
              <w:ind w:left="0"/>
              <w:rPr>
                <w:highlight w:val="none"/>
                <w:shd w:fill="auto" w:val="clear"/>
              </w:rPr>
            </w:pPr>
            <w:r>
              <w:rPr>
                <w:rFonts w:eastAsia="Calibri" w:ascii="Calibri" w:hAnsi="Calibri"/>
                <w:szCs w:val="22"/>
                <w:shd w:fill="auto" w:val="clear"/>
                <w:lang w:eastAsia="en-GB"/>
              </w:rPr>
              <w:t>NA</w:t>
            </w:r>
          </w:p>
        </w:tc>
      </w:tr>
      <w:tr>
        <w:trPr>
          <w:trHeight w:val="854" w:hRule="atLeast"/>
        </w:trPr>
        <w:tc>
          <w:tcPr>
            <w:tcW w:w="1526" w:type="dxa"/>
            <w:tcBorders>
              <w:left w:val="single" w:sz="8" w:space="0" w:color="5B9BD5"/>
              <w:bottom w:val="single" w:sz="4" w:space="0" w:color="000000"/>
              <w:right w:val="single" w:sz="8" w:space="0" w:color="44546A"/>
            </w:tcBorders>
          </w:tcPr>
          <w:p>
            <w:pPr>
              <w:pStyle w:val="Normal"/>
              <w:spacing w:beforeAutospacing="1" w:afterAutospacing="1"/>
              <w:ind w:left="0"/>
              <w:rPr>
                <w:highlight w:val="none"/>
                <w:shd w:fill="auto" w:val="clear"/>
              </w:rPr>
            </w:pPr>
            <w:r>
              <w:rPr>
                <w:rFonts w:eastAsia="Calibri" w:ascii="Calibri" w:hAnsi="Calibri"/>
                <w:b/>
                <w:bCs/>
                <w:szCs w:val="22"/>
                <w:shd w:fill="auto" w:val="clear"/>
                <w:lang w:eastAsia="en-GB"/>
              </w:rPr>
              <w:t>Technical offer</w:t>
            </w:r>
          </w:p>
          <w:p>
            <w:pPr>
              <w:pStyle w:val="Normal"/>
              <w:spacing w:beforeAutospacing="1" w:afterAutospacing="1"/>
              <w:ind w:left="0"/>
              <w:rPr>
                <w:highlight w:val="none"/>
                <w:shd w:fill="auto" w:val="clear"/>
              </w:rPr>
            </w:pPr>
            <w:r>
              <w:rPr>
                <w:rFonts w:eastAsia="Calibri" w:ascii="Calibri" w:hAnsi="Calibri"/>
                <w:b/>
                <w:bCs/>
                <w:szCs w:val="22"/>
                <w:shd w:fill="auto" w:val="clear"/>
                <w:lang w:eastAsia="en-GB"/>
              </w:rPr>
              <w:t>(Volume 5)</w:t>
            </w:r>
          </w:p>
          <w:p>
            <w:pPr>
              <w:pStyle w:val="Normal"/>
              <w:spacing w:beforeAutospacing="1" w:afterAutospacing="1"/>
              <w:ind w:left="0"/>
              <w:rPr>
                <w:highlight w:val="none"/>
                <w:shd w:fill="auto" w:val="clear"/>
              </w:rPr>
            </w:pPr>
            <w:r>
              <w:rPr>
                <w:rFonts w:eastAsia="Calibri" w:ascii="Calibri" w:hAnsi="Calibri"/>
                <w:b/>
                <w:sz w:val="20"/>
                <w:shd w:fill="auto" w:val="clear"/>
                <w:lang w:val="en-IE"/>
              </w:rPr>
              <w:t>Form 5.1</w:t>
            </w:r>
          </w:p>
          <w:p>
            <w:pPr>
              <w:pStyle w:val="Normal"/>
              <w:spacing w:beforeAutospacing="1" w:after="0"/>
              <w:ind w:left="0"/>
              <w:rPr>
                <w:highlight w:val="none"/>
                <w:shd w:fill="auto" w:val="clear"/>
              </w:rPr>
            </w:pPr>
            <w:r>
              <w:rPr>
                <w:rFonts w:eastAsia="Calibri" w:ascii="Calibri" w:hAnsi="Calibri"/>
                <w:b/>
                <w:sz w:val="20"/>
                <w:shd w:fill="auto" w:val="clear"/>
                <w:lang w:val="en-IE"/>
              </w:rPr>
              <w:t>Form 5.2</w:t>
            </w:r>
          </w:p>
        </w:tc>
        <w:tc>
          <w:tcPr>
            <w:tcW w:w="1134" w:type="dxa"/>
            <w:tcBorders>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MS Gothic" w:ascii="MS Gothic" w:hAnsi="MS Gothic"/>
                <w:b/>
                <w:bCs/>
                <w:sz w:val="24"/>
                <w:szCs w:val="24"/>
                <w:shd w:fill="auto" w:val="clear"/>
                <w:lang w:eastAsia="en-GB"/>
              </w:rPr>
              <w:t>☒</w:t>
            </w:r>
          </w:p>
        </w:tc>
        <w:tc>
          <w:tcPr>
            <w:tcW w:w="992" w:type="dxa"/>
            <w:tcBorders>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MS Gothic" w:ascii="MS Gothic" w:hAnsi="MS Gothic"/>
                <w:b/>
                <w:bCs/>
                <w:sz w:val="24"/>
                <w:szCs w:val="24"/>
                <w:shd w:fill="auto" w:val="clear"/>
                <w:lang w:eastAsia="en-GB"/>
              </w:rPr>
              <w:t>☒</w:t>
            </w:r>
          </w:p>
        </w:tc>
        <w:tc>
          <w:tcPr>
            <w:tcW w:w="1134" w:type="dxa"/>
            <w:tcBorders>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1276" w:type="dxa"/>
            <w:tcBorders>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992" w:type="dxa"/>
            <w:tcBorders>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1525" w:type="dxa"/>
            <w:tcBorders>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bottom w:val="single" w:sz="4" w:space="0" w:color="000000"/>
              <w:right w:val="single" w:sz="8" w:space="0" w:color="44546A"/>
            </w:tcBorders>
          </w:tcPr>
          <w:p>
            <w:pPr>
              <w:pStyle w:val="Normal"/>
              <w:spacing w:beforeAutospacing="1" w:after="0"/>
              <w:ind w:left="0"/>
              <w:rPr>
                <w:highlight w:val="none"/>
                <w:shd w:fill="auto" w:val="clear"/>
              </w:rPr>
            </w:pPr>
            <w:r>
              <w:rPr>
                <w:rFonts w:eastAsia="Calibri" w:ascii="Calibri" w:hAnsi="Calibri"/>
                <w:szCs w:val="22"/>
                <w:shd w:fill="auto" w:val="clear"/>
                <w:lang w:eastAsia="en-GB"/>
              </w:rPr>
              <w:t>'Technical offer'</w:t>
            </w:r>
          </w:p>
        </w:tc>
        <w:tc>
          <w:tcPr>
            <w:tcW w:w="2723" w:type="dxa"/>
            <w:tcBorders>
              <w:bottom w:val="single" w:sz="4" w:space="0" w:color="000000"/>
              <w:right w:val="single" w:sz="8" w:space="0" w:color="5B9BD5"/>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NA</w:t>
            </w:r>
          </w:p>
        </w:tc>
      </w:tr>
      <w:tr>
        <w:trPr>
          <w:trHeight w:val="818" w:hRule="atLeast"/>
        </w:trPr>
        <w:tc>
          <w:tcPr>
            <w:tcW w:w="1526" w:type="dxa"/>
            <w:tcBorders>
              <w:top w:val="single" w:sz="4" w:space="0" w:color="000000"/>
              <w:left w:val="single" w:sz="4" w:space="0" w:color="000000"/>
              <w:bottom w:val="single" w:sz="4" w:space="0" w:color="000000"/>
              <w:right w:val="single" w:sz="8" w:space="0" w:color="44546A"/>
            </w:tcBorders>
          </w:tcPr>
          <w:p>
            <w:pPr>
              <w:pStyle w:val="Normal"/>
              <w:spacing w:beforeAutospacing="1" w:afterAutospacing="1"/>
              <w:ind w:left="0"/>
              <w:rPr>
                <w:highlight w:val="none"/>
                <w:shd w:fill="auto" w:val="clear"/>
              </w:rPr>
            </w:pPr>
            <w:r>
              <w:rPr>
                <w:rFonts w:eastAsia="Calibri" w:ascii="Calibri" w:hAnsi="Calibri"/>
                <w:b/>
                <w:bCs/>
                <w:szCs w:val="22"/>
                <w:shd w:fill="auto" w:val="clear"/>
                <w:lang w:eastAsia="en-GB"/>
              </w:rPr>
              <w:t>Financial offer (budget)</w:t>
            </w:r>
          </w:p>
          <w:p>
            <w:pPr>
              <w:pStyle w:val="Normal"/>
              <w:spacing w:beforeAutospacing="1" w:after="0"/>
              <w:ind w:left="0"/>
              <w:rPr>
                <w:highlight w:val="none"/>
                <w:shd w:fill="auto" w:val="clear"/>
              </w:rPr>
            </w:pPr>
            <w:r>
              <w:rPr>
                <w:rFonts w:eastAsia="Calibri" w:ascii="Calibri" w:hAnsi="Calibri"/>
                <w:b/>
                <w:bCs/>
                <w:sz w:val="20"/>
                <w:shd w:fill="auto" w:val="clear"/>
                <w:lang w:eastAsia="en-GB"/>
              </w:rPr>
              <w:t>(Volume 4.2)</w:t>
            </w:r>
          </w:p>
        </w:tc>
        <w:tc>
          <w:tcPr>
            <w:tcW w:w="1134" w:type="dxa"/>
            <w:tcBorders>
              <w:top w:val="single" w:sz="4" w:space="0" w:color="000000"/>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MS Gothic" w:ascii="MS Gothic" w:hAnsi="MS Gothic"/>
                <w:b/>
                <w:bCs/>
                <w:sz w:val="24"/>
                <w:szCs w:val="24"/>
                <w:shd w:fill="auto" w:val="clear"/>
                <w:lang w:eastAsia="en-GB"/>
              </w:rPr>
              <w:t>☒</w:t>
            </w:r>
          </w:p>
        </w:tc>
        <w:tc>
          <w:tcPr>
            <w:tcW w:w="992" w:type="dxa"/>
            <w:tcBorders>
              <w:top w:val="single" w:sz="4" w:space="0" w:color="000000"/>
              <w:bottom w:val="single" w:sz="4" w:space="0" w:color="000000"/>
              <w:right w:val="single" w:sz="8" w:space="0" w:color="44546A"/>
            </w:tcBorders>
          </w:tcPr>
          <w:p>
            <w:pPr>
              <w:pStyle w:val="Normal"/>
              <w:spacing w:beforeAutospacing="1" w:after="0"/>
              <w:ind w:left="0"/>
              <w:jc w:val="center"/>
              <w:rPr>
                <w:highlight w:val="none"/>
                <w:shd w:fill="auto" w:val="clear"/>
              </w:rPr>
            </w:pPr>
            <w:r>
              <w:rPr>
                <w:rFonts w:eastAsia="MS Gothic" w:ascii="MS Gothic" w:hAnsi="MS Gothic"/>
                <w:b/>
                <w:bCs/>
                <w:sz w:val="24"/>
                <w:szCs w:val="24"/>
                <w:shd w:fill="auto" w:val="clear"/>
                <w:lang w:eastAsia="en-GB"/>
              </w:rPr>
              <w:t>☒</w:t>
            </w:r>
          </w:p>
        </w:tc>
        <w:tc>
          <w:tcPr>
            <w:tcW w:w="1134" w:type="dxa"/>
            <w:tcBorders>
              <w:top w:val="single" w:sz="4" w:space="0" w:color="000000"/>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1276" w:type="dxa"/>
            <w:tcBorders>
              <w:top w:val="single" w:sz="4" w:space="0" w:color="000000"/>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992" w:type="dxa"/>
            <w:tcBorders>
              <w:top w:val="single" w:sz="4" w:space="0" w:color="000000"/>
              <w:bottom w:val="single" w:sz="4" w:space="0" w:color="000000"/>
              <w:right w:val="single" w:sz="8" w:space="0" w:color="44546A"/>
            </w:tcBorders>
          </w:tcPr>
          <w:p>
            <w:pPr>
              <w:pStyle w:val="Normal"/>
              <w:spacing w:beforeAutospacing="1" w:after="0"/>
              <w:ind w:left="0"/>
              <w:jc w:val="center"/>
              <w:rPr>
                <w:rFonts w:ascii="Calibri" w:hAnsi="Calibri" w:eastAsia="Calibri"/>
                <w:b/>
                <w:bCs/>
                <w:sz w:val="24"/>
                <w:szCs w:val="24"/>
                <w:highlight w:val="none"/>
                <w:shd w:fill="auto" w:val="clear"/>
                <w:lang w:eastAsia="en-GB"/>
              </w:rPr>
            </w:pPr>
            <w:r>
              <w:rPr>
                <w:rFonts w:eastAsia="Calibri" w:ascii="Calibri" w:hAnsi="Calibri"/>
                <w:b/>
                <w:bCs/>
                <w:sz w:val="24"/>
                <w:szCs w:val="24"/>
                <w:shd w:fill="auto" w:val="clear"/>
                <w:lang w:eastAsia="en-GB"/>
              </w:rPr>
            </w:r>
          </w:p>
        </w:tc>
        <w:tc>
          <w:tcPr>
            <w:tcW w:w="1525" w:type="dxa"/>
            <w:tcBorders>
              <w:top w:val="single" w:sz="4" w:space="0" w:color="000000"/>
              <w:bottom w:val="single" w:sz="4" w:space="0" w:color="000000"/>
              <w:right w:val="single" w:sz="8" w:space="0" w:color="44546A"/>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With the tender offer</w:t>
            </w:r>
          </w:p>
        </w:tc>
        <w:tc>
          <w:tcPr>
            <w:tcW w:w="2870" w:type="dxa"/>
            <w:tcBorders>
              <w:top w:val="single" w:sz="4" w:space="0" w:color="000000"/>
              <w:bottom w:val="single" w:sz="4" w:space="0" w:color="000000"/>
              <w:right w:val="single" w:sz="8" w:space="0" w:color="44546A"/>
            </w:tcBorders>
          </w:tcPr>
          <w:p>
            <w:pPr>
              <w:pStyle w:val="Normal"/>
              <w:spacing w:beforeAutospacing="1" w:after="0"/>
              <w:ind w:left="0"/>
              <w:rPr>
                <w:highlight w:val="none"/>
                <w:shd w:fill="auto" w:val="clear"/>
              </w:rPr>
            </w:pPr>
            <w:r>
              <w:rPr>
                <w:rFonts w:eastAsia="Calibri" w:ascii="Calibri" w:hAnsi="Calibri"/>
                <w:szCs w:val="22"/>
                <w:shd w:fill="auto" w:val="clear"/>
                <w:lang w:eastAsia="en-GB"/>
              </w:rPr>
              <w:t>'Financial offer'</w:t>
            </w:r>
          </w:p>
        </w:tc>
        <w:tc>
          <w:tcPr>
            <w:tcW w:w="2723" w:type="dxa"/>
            <w:tcBorders>
              <w:top w:val="single" w:sz="4" w:space="0" w:color="000000"/>
              <w:bottom w:val="single" w:sz="4" w:space="0" w:color="000000"/>
              <w:right w:val="single" w:sz="4" w:space="0" w:color="000000"/>
            </w:tcBorders>
          </w:tcPr>
          <w:p>
            <w:pPr>
              <w:pStyle w:val="Normal"/>
              <w:spacing w:beforeAutospacing="1" w:after="0"/>
              <w:ind w:left="0"/>
              <w:jc w:val="left"/>
              <w:rPr>
                <w:highlight w:val="none"/>
                <w:shd w:fill="auto" w:val="clear"/>
              </w:rPr>
            </w:pPr>
            <w:r>
              <w:rPr>
                <w:rFonts w:eastAsia="Calibri" w:ascii="Calibri" w:hAnsi="Calibri"/>
                <w:szCs w:val="22"/>
                <w:shd w:fill="auto" w:val="clear"/>
                <w:lang w:eastAsia="en-GB"/>
              </w:rPr>
              <w:t>NA</w:t>
            </w:r>
          </w:p>
        </w:tc>
      </w:tr>
    </w:tbl>
    <w:p>
      <w:pPr>
        <w:pStyle w:val="Normal"/>
        <w:spacing w:before="600" w:after="120"/>
        <w:ind w:left="0"/>
        <w:rPr>
          <w:highlight w:val="none"/>
          <w:shd w:fill="auto" w:val="clear"/>
        </w:rPr>
      </w:pPr>
      <w:r>
        <w:rPr>
          <w:shd w:fill="auto" w:val="clear"/>
        </w:rPr>
      </w:r>
      <w:bookmarkStart w:id="50" w:name="_GoBack"/>
      <w:bookmarkStart w:id="51" w:name="_GoBack"/>
      <w:bookmarkEnd w:id="51"/>
    </w:p>
    <w:sectPr>
      <w:footerReference w:type="even" r:id="rId12"/>
      <w:footerReference w:type="default" r:id="rId13"/>
      <w:footerReference w:type="first" r:id="rId14"/>
      <w:footnotePr>
        <w:numFmt w:val="decimal"/>
      </w:footnotePr>
      <w:type w:val="nextPage"/>
      <w:pgSz w:orient="landscape" w:w="16838" w:h="11906"/>
      <w:pgMar w:left="1440" w:right="1440" w:gutter="0" w:header="0" w:top="1276" w:footer="578" w:bottom="127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Bold">
    <w:charset w:val="cc"/>
    <w:family w:val="roman"/>
    <w:pitch w:val="variable"/>
  </w:font>
  <w:font w:name="Calibri">
    <w:charset w:val="cc"/>
    <w:family w:val="swiss"/>
    <w:pitch w:val="variable"/>
  </w:font>
  <w:font w:name="Arial">
    <w:charset w:val="cc"/>
    <w:family w:val="swiss"/>
    <w:pitch w:val="variable"/>
  </w:font>
  <w:font w:name="Cambria">
    <w:charset w:val="cc"/>
    <w:family w:val="roman"/>
    <w:pitch w:val="variable"/>
  </w:font>
  <w:font w:name="Courier">
    <w:altName w:val="Courier New"/>
    <w:charset w:val="cc"/>
    <w:family w:val="roman"/>
    <w:pitch w:val="variable"/>
  </w:font>
  <w:font w:name="Liberation Sans">
    <w:altName w:val="Arial"/>
    <w:charset w:val="cc"/>
    <w:family w:val="swiss"/>
    <w:pitch w:val="variable"/>
  </w:font>
  <w:font w:name="Courier New">
    <w:charset w:val="cc"/>
    <w:family w:val="roman"/>
    <w:pitch w:val="variable"/>
  </w:font>
  <w:font w:name="Tahoma">
    <w:charset w:val="cc"/>
    <w:family w:val="swiss"/>
    <w:pitch w:val="variable"/>
  </w:font>
  <w:font w:name="Verdana">
    <w:charset w:val="cc"/>
    <w:family w:val="swiss"/>
    <w:pitch w:val="variable"/>
  </w:font>
  <w:font w:name="Optima">
    <w:charset w:val="cc"/>
    <w:family w:val="swiss"/>
    <w:pitch w:val="variable"/>
  </w:font>
  <w:font w:name="Calibri Light">
    <w:charset w:val="cc"/>
    <w:family w:val="swiss"/>
    <w:pitch w:val="variable"/>
  </w:font>
  <w:font w:name="MS Gothic">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2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072"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072"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2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072"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5</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9072"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4</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2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13608"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23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320"/>
        <w:tab w:val="clear" w:pos="8640"/>
        <w:tab w:val="right" w:pos="13608" w:leader="none"/>
      </w:tabs>
      <w:spacing w:before="0" w:after="0"/>
      <w:ind w:left="0" w:right="5"/>
      <w:rPr>
        <w:rStyle w:val="PageNumber"/>
        <w:sz w:val="18"/>
        <w:szCs w:val="18"/>
      </w:rPr>
    </w:pPr>
    <w:r>
      <w:rPr>
        <w:b/>
        <w:sz w:val="18"/>
      </w:rPr>
      <w:t>2025</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23</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23</w:t>
    </w:r>
    <w:r>
      <w:rPr>
        <w:rStyle w:val="PageNumber"/>
        <w:sz w:val="18"/>
        <w:szCs w:val="18"/>
      </w:rPr>
      <w:fldChar w:fldCharType="end"/>
    </w:r>
  </w:p>
  <w:p>
    <w:pPr>
      <w:pStyle w:val="Normal"/>
      <w:spacing w:before="0" w:after="0"/>
      <w:ind w:left="0"/>
      <w:rPr>
        <w:sz w:val="18"/>
        <w:szCs w:val="18"/>
      </w:rPr>
    </w:pPr>
    <w:r>
      <w:rPr/>
      <w:fldChar w:fldCharType="begin"/>
    </w:r>
    <w:r>
      <w:rPr/>
      <w:instrText xml:space="preserve"> FILENAME </w:instrText>
    </w:r>
    <w:r>
      <w:rPr/>
      <w:fldChar w:fldCharType="separate"/>
    </w:r>
    <w:r>
      <w:rPr/>
      <w:t>d4b_itt_en.docx</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Normal"/>
        <w:spacing w:before="0" w:after="120"/>
        <w:ind w:hanging="284" w:left="284"/>
        <w:rPr/>
      </w:pPr>
      <w:r>
        <w:rPr>
          <w:rStyle w:val="FootnoteCharacters"/>
        </w:rPr>
        <w:footnoteRef/>
      </w:r>
      <w:r>
        <w:rPr>
          <w:sz w:val="18"/>
          <w:szCs w:val="18"/>
        </w:rPr>
        <w:tab/>
        <w:t>Please note that the EU Official Journal contains the official list of entities subject to restrictive measures and, in case of conflict, it prevails over the list of the </w:t>
      </w:r>
      <w:hyperlink r:id="rId1" w:anchor="/main" w:tgtFrame="_blank">
        <w:r>
          <w:rPr>
            <w:rStyle w:val="Hyperlink"/>
            <w:i/>
            <w:iCs/>
            <w:sz w:val="18"/>
            <w:szCs w:val="18"/>
          </w:rPr>
          <w:t>EU Sanctions Map</w:t>
        </w:r>
      </w:hyperlink>
      <w:r>
        <w:rPr>
          <w:sz w:val="18"/>
          <w:szCs w:val="18"/>
        </w:rPr>
        <w:t>.</w:t>
      </w:r>
    </w:p>
  </w:footnote>
  <w:footnote w:id="3">
    <w:p>
      <w:pPr>
        <w:pStyle w:val="FootnoteText"/>
        <w:spacing w:before="0" w:after="120"/>
        <w:ind w:hanging="284" w:left="284"/>
        <w:rPr/>
      </w:pPr>
      <w:r>
        <w:rPr>
          <w:rStyle w:val="FootnoteCharacters"/>
        </w:rPr>
        <w:footnoteRef/>
      </w:r>
      <w:r>
        <w:rPr/>
        <w:tab/>
        <w:t>See PRAG 2.4.2.3. (1)</w:t>
      </w:r>
    </w:p>
  </w:footnote>
  <w:footnote w:id="4">
    <w:p>
      <w:pPr>
        <w:pStyle w:val="FootnoteText"/>
        <w:spacing w:before="0" w:after="120"/>
        <w:ind w:hanging="284" w:left="284"/>
        <w:rPr/>
      </w:pPr>
      <w:r>
        <w:rPr>
          <w:rStyle w:val="FootnoteCharacters"/>
        </w:rPr>
        <w:footnoteRef/>
      </w:r>
      <w:r>
        <w:rPr/>
        <w:tab/>
        <w:t>It is recommended to use registered mail in case the postmark would not be readable.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decimal"/>
      <w:lvlText w:val="%2."/>
      <w:lvlJc w:val="left"/>
      <w:pPr>
        <w:tabs>
          <w:tab w:val="num" w:pos="0"/>
        </w:tabs>
        <w:ind w:left="567" w:hanging="567"/>
      </w:pPr>
      <w:rPr>
        <w:smallCaps w:val="false"/>
        <w:caps w:val="false"/>
        <w:dstrike w:val="false"/>
        <w:strike w:val="false"/>
        <w:vertAlign w:val="baseline"/>
        <w:position w:val="0"/>
        <w:sz w:val="24"/>
        <w:sz w:val="24"/>
        <w:i w:val="false"/>
        <w:b/>
        <w:vanish w:val="false"/>
        <w:rFonts w:ascii="Times New Roman Bold" w:hAnsi="Times New Roman Bold"/>
        <w:color w:val="auto"/>
        <w14:shadow w14:blurRad="0" w14:dist="0" w14:dir="0" w14:sx="0" w14:sy="0" w14:kx="0" w14:ky="0" w14:algn="none">
          <w14:srgbClr w14:val="000000"/>
        </w14:shadow>
        <w14:textOutline w14:w="0" w14:cap="rnd" w14:cmpd="sng" w14:algn="ctr">
          <w14:noFill/>
          <w14:prstDash w14:val="solid"/>
          <w14:bevel/>
        </w14:textOutline>
      </w:rPr>
    </w:lvl>
    <w:lvl w:ilvl="2">
      <w:start w:val="1"/>
      <w:pStyle w:val="Heading3"/>
      <w:numFmt w:val="decimal"/>
      <w:lvlText w:val="%1%2.%3."/>
      <w:lvlJc w:val="left"/>
      <w:pPr>
        <w:tabs>
          <w:tab w:val="num" w:pos="0"/>
        </w:tabs>
        <w:ind w:left="567" w:hanging="567"/>
      </w:pPr>
      <w:rPr/>
    </w:lvl>
    <w:lvl w:ilvl="3">
      <w:start w:val="1"/>
      <w:pStyle w:val="Heading4"/>
      <w:numFmt w:val="decimal"/>
      <w:lvlText w:val="%1%2.%3.%4."/>
      <w:lvlJc w:val="left"/>
      <w:pPr>
        <w:tabs>
          <w:tab w:val="num" w:pos="851"/>
        </w:tabs>
        <w:ind w:left="851" w:hanging="851"/>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4">
      <w:start w:val="1"/>
      <w:pStyle w:val="Heading5"/>
      <w:numFmt w:val="decimal"/>
      <w:lvlText w:val="%1%2.%3.%4.%5."/>
      <w:lvlJc w:val="left"/>
      <w:pPr>
        <w:tabs>
          <w:tab w:val="num" w:pos="1009"/>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upperLetter"/>
      <w:lvlText w:val="%1."/>
      <w:lvlJc w:val="left"/>
      <w:pPr>
        <w:tabs>
          <w:tab w:val="num" w:pos="360"/>
        </w:tabs>
        <w:ind w:left="3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decimal"/>
      <w:lvlText w:val="%1"/>
      <w:lvlJc w:val="left"/>
      <w:pPr>
        <w:tabs>
          <w:tab w:val="num" w:pos="435"/>
        </w:tabs>
        <w:ind w:left="435" w:hanging="435"/>
      </w:pPr>
      <w:rPr/>
    </w:lvl>
    <w:lvl w:ilvl="1">
      <w:start w:val="1"/>
      <w:numFmt w:val="none"/>
      <w:suff w:val="nothing"/>
      <w:lvlText w:val=""/>
      <w:lvlJc w:val="left"/>
      <w:pPr>
        <w:tabs>
          <w:tab w:val="num" w:pos="0"/>
        </w:tabs>
        <w:ind w:left="1319" w:hanging="435"/>
      </w:pPr>
      <w:rPr/>
    </w:lvl>
    <w:lvl w:ilvl="2">
      <w:start w:val="1"/>
      <w:numFmt w:val="none"/>
      <w:suff w:val="nothing"/>
      <w:lvlText w:val=""/>
      <w:lvlJc w:val="left"/>
      <w:pPr>
        <w:tabs>
          <w:tab w:val="num" w:pos="0"/>
        </w:tabs>
        <w:ind w:left="2488" w:hanging="720"/>
      </w:pPr>
      <w:rPr/>
    </w:lvl>
    <w:lvl w:ilvl="3">
      <w:start w:val="1"/>
      <w:isLgl/>
      <w:numFmt w:val="none"/>
      <w:suff w:val="nothing"/>
      <w:lvlText w:val="13"/>
      <w:lvlJc w:val="left"/>
      <w:pPr>
        <w:tabs>
          <w:tab w:val="num" w:pos="0"/>
        </w:tabs>
        <w:ind w:left="0" w:hanging="0"/>
      </w:pPr>
      <w:rPr/>
    </w:lvl>
    <w:lvl w:ilvl="4">
      <w:start w:val="1"/>
      <w:isLgl/>
      <w:numFmt w:val="none"/>
      <w:suff w:val="nothing"/>
      <w:lvlText w:val=""/>
      <w:lvlJc w:val="left"/>
      <w:pPr>
        <w:tabs>
          <w:tab w:val="num" w:pos="0"/>
        </w:tabs>
        <w:ind w:left="4616" w:hanging="1080"/>
      </w:pPr>
      <w:rPr/>
    </w:lvl>
    <w:lvl w:ilvl="5">
      <w:start w:val="1"/>
      <w:numFmt w:val="none"/>
      <w:suff w:val="nothing"/>
      <w:lvlText w:val=""/>
      <w:lvlJc w:val="left"/>
      <w:pPr>
        <w:tabs>
          <w:tab w:val="num" w:pos="0"/>
        </w:tabs>
        <w:ind w:left="5500" w:hanging="1080"/>
      </w:pPr>
      <w:rPr/>
    </w:lvl>
    <w:lvl w:ilvl="6">
      <w:start w:val="1"/>
      <w:numFmt w:val="none"/>
      <w:suff w:val="nothing"/>
      <w:lvlText w:val=""/>
      <w:lvlJc w:val="left"/>
      <w:pPr>
        <w:tabs>
          <w:tab w:val="num" w:pos="0"/>
        </w:tabs>
        <w:ind w:left="6744" w:hanging="1440"/>
      </w:pPr>
      <w:rPr/>
    </w:lvl>
    <w:lvl w:ilvl="7">
      <w:start w:val="1"/>
      <w:numFmt w:val="decimal"/>
      <w:lvlText w:val="%1.%2%3%4%5%6%7%8"/>
      <w:lvlJc w:val="left"/>
      <w:pPr>
        <w:tabs>
          <w:tab w:val="num" w:pos="7988"/>
        </w:tabs>
        <w:ind w:left="7628" w:hanging="1440"/>
      </w:pPr>
      <w:rPr/>
    </w:lvl>
    <w:lvl w:ilvl="8">
      <w:start w:val="1"/>
      <w:numFmt w:val="decimal"/>
      <w:lvlText w:val="%1.%2%3%4%5%6%7%8.%9"/>
      <w:lvlJc w:val="left"/>
      <w:pPr>
        <w:tabs>
          <w:tab w:val="num" w:pos="8872"/>
        </w:tabs>
        <w:ind w:left="8872" w:hanging="1800"/>
      </w:pPr>
      <w:rPr/>
    </w:lvl>
  </w:abstractNum>
  <w:abstractNum w:abstractNumId="4">
    <w:lvl w:ilvl="0">
      <w:start w:val="1"/>
      <w:numFmt w:val="lowerLetter"/>
      <w:lvlText w:val="(%1)"/>
      <w:lvlJc w:val="left"/>
      <w:pPr>
        <w:tabs>
          <w:tab w:val="num" w:pos="1134"/>
        </w:tabs>
        <w:ind w:left="1701" w:hanging="567"/>
      </w:pPr>
      <w:rPr>
        <w:sz w:val="22"/>
        <w:i w:val="false"/>
        <w:b w:val="false"/>
        <w:rFonts w:ascii="Times New Roman Bold" w:hAnsi="Times New Roman Bold"/>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6">
    <w:lvl w:ilvl="0">
      <w:start w:val="1"/>
      <w:numFmt w:val="bullet"/>
      <w:lvlText w:val=""/>
      <w:lvlJc w:val="left"/>
      <w:pPr>
        <w:tabs>
          <w:tab w:val="num" w:pos="0"/>
        </w:tabs>
        <w:ind w:left="2629" w:hanging="360"/>
      </w:pPr>
      <w:rPr>
        <w:rFonts w:ascii="Symbol" w:hAnsi="Symbol" w:cs="Symbol" w:hint="default"/>
      </w:rPr>
    </w:lvl>
    <w:lvl w:ilvl="1">
      <w:start w:val="1"/>
      <w:numFmt w:val="bullet"/>
      <w:lvlText w:val="o"/>
      <w:lvlJc w:val="left"/>
      <w:pPr>
        <w:tabs>
          <w:tab w:val="num" w:pos="0"/>
        </w:tabs>
        <w:ind w:left="3349" w:hanging="360"/>
      </w:pPr>
      <w:rPr>
        <w:rFonts w:ascii="Courier New" w:hAnsi="Courier New" w:cs="Courier New" w:hint="default"/>
      </w:rPr>
    </w:lvl>
    <w:lvl w:ilvl="2">
      <w:start w:val="1"/>
      <w:numFmt w:val="bullet"/>
      <w:lvlText w:val=""/>
      <w:lvlJc w:val="left"/>
      <w:pPr>
        <w:tabs>
          <w:tab w:val="num" w:pos="0"/>
        </w:tabs>
        <w:ind w:left="4069" w:hanging="360"/>
      </w:pPr>
      <w:rPr>
        <w:rFonts w:ascii="Wingdings" w:hAnsi="Wingdings" w:cs="Wingdings" w:hint="default"/>
      </w:rPr>
    </w:lvl>
    <w:lvl w:ilvl="3">
      <w:start w:val="1"/>
      <w:numFmt w:val="bullet"/>
      <w:lvlText w:val=""/>
      <w:lvlJc w:val="left"/>
      <w:pPr>
        <w:tabs>
          <w:tab w:val="num" w:pos="0"/>
        </w:tabs>
        <w:ind w:left="4789" w:hanging="360"/>
      </w:pPr>
      <w:rPr>
        <w:rFonts w:ascii="Symbol" w:hAnsi="Symbol" w:cs="Symbol" w:hint="default"/>
      </w:rPr>
    </w:lvl>
    <w:lvl w:ilvl="4">
      <w:start w:val="1"/>
      <w:numFmt w:val="bullet"/>
      <w:lvlText w:val="o"/>
      <w:lvlJc w:val="left"/>
      <w:pPr>
        <w:tabs>
          <w:tab w:val="num" w:pos="0"/>
        </w:tabs>
        <w:ind w:left="5509" w:hanging="360"/>
      </w:pPr>
      <w:rPr>
        <w:rFonts w:ascii="Courier New" w:hAnsi="Courier New" w:cs="Courier New" w:hint="default"/>
      </w:rPr>
    </w:lvl>
    <w:lvl w:ilvl="5">
      <w:start w:val="1"/>
      <w:numFmt w:val="bullet"/>
      <w:lvlText w:val=""/>
      <w:lvlJc w:val="left"/>
      <w:pPr>
        <w:tabs>
          <w:tab w:val="num" w:pos="0"/>
        </w:tabs>
        <w:ind w:left="6229" w:hanging="360"/>
      </w:pPr>
      <w:rPr>
        <w:rFonts w:ascii="Wingdings" w:hAnsi="Wingdings" w:cs="Wingdings" w:hint="default"/>
      </w:rPr>
    </w:lvl>
    <w:lvl w:ilvl="6">
      <w:start w:val="1"/>
      <w:numFmt w:val="bullet"/>
      <w:lvlText w:val=""/>
      <w:lvlJc w:val="left"/>
      <w:pPr>
        <w:tabs>
          <w:tab w:val="num" w:pos="0"/>
        </w:tabs>
        <w:ind w:left="6949" w:hanging="360"/>
      </w:pPr>
      <w:rPr>
        <w:rFonts w:ascii="Symbol" w:hAnsi="Symbol" w:cs="Symbol" w:hint="default"/>
      </w:rPr>
    </w:lvl>
    <w:lvl w:ilvl="7">
      <w:start w:val="1"/>
      <w:numFmt w:val="bullet"/>
      <w:lvlText w:val="o"/>
      <w:lvlJc w:val="left"/>
      <w:pPr>
        <w:tabs>
          <w:tab w:val="num" w:pos="0"/>
        </w:tabs>
        <w:ind w:left="7669" w:hanging="360"/>
      </w:pPr>
      <w:rPr>
        <w:rFonts w:ascii="Courier New" w:hAnsi="Courier New" w:cs="Courier New" w:hint="default"/>
      </w:rPr>
    </w:lvl>
    <w:lvl w:ilvl="8">
      <w:start w:val="1"/>
      <w:numFmt w:val="bullet"/>
      <w:lvlText w:val=""/>
      <w:lvlJc w:val="left"/>
      <w:pPr>
        <w:tabs>
          <w:tab w:val="num" w:pos="0"/>
        </w:tabs>
        <w:ind w:left="8389" w:hanging="360"/>
      </w:pPr>
      <w:rPr>
        <w:rFonts w:ascii="Wingdings" w:hAnsi="Wingdings" w:cs="Wingdings" w:hint="default"/>
      </w:r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lvl w:ilvl="0">
      <w:start w:val="1"/>
      <w:numFmt w:val="lowerLetter"/>
      <w:lvlText w:val="(%1)"/>
      <w:lvlJc w:val="left"/>
      <w:pPr>
        <w:tabs>
          <w:tab w:val="num" w:pos="0"/>
        </w:tabs>
        <w:ind w:left="1287" w:hanging="360"/>
      </w:pPr>
      <w:rPr>
        <w:sz w:val="22"/>
        <w:i w:val="false"/>
        <w:b w:val="false"/>
        <w:szCs w:val="24"/>
        <w:rFonts w:ascii="Times New Roman" w:hAnsi="Times New Roman" w:cs="Old English Text MT"/>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9">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1">
    <w:lvl w:ilvl="0">
      <w:start w:val="1"/>
      <w:numFmt w:val="bullet"/>
      <w:lvlText w:val=""/>
      <w:lvlJc w:val="left"/>
      <w:pPr>
        <w:tabs>
          <w:tab w:val="num" w:pos="0"/>
        </w:tabs>
        <w:ind w:left="1287" w:hanging="360"/>
      </w:pPr>
      <w:rPr>
        <w:rFonts w:ascii="Symbol" w:hAnsi="Symbol" w:cs="Symbol" w:hint="default"/>
      </w:rPr>
    </w:lvl>
    <w:lvl w:ilvl="1">
      <w:start w:val="0"/>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2">
    <w:lvl w:ilvl="0">
      <w:start w:val="1"/>
      <w:numFmt w:val="decimal"/>
      <w:lvlText w:val="%1."/>
      <w:lvlJc w:val="left"/>
      <w:pPr>
        <w:tabs>
          <w:tab w:val="num" w:pos="284"/>
        </w:tabs>
        <w:ind w:left="284" w:hanging="0"/>
      </w:pPr>
      <w:rPr>
        <w:sz w:val="22"/>
        <w:i w:val="false"/>
        <w:b/>
        <w:szCs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
    <w:lvl w:ilvl="0">
      <w:start w:val="1"/>
      <w:numFmt w:val="decimal"/>
      <w:lvlText w:val="Article %1 - "/>
      <w:lvlJc w:val="left"/>
      <w:pPr>
        <w:tabs>
          <w:tab w:val="num" w:pos="284"/>
        </w:tabs>
        <w:ind w:left="1305" w:hanging="1021"/>
      </w:pPr>
      <w:rPr>
        <w:smallCaps w:val="false"/>
        <w:caps w:val="false"/>
        <w:dstrike w:val="false"/>
        <w:strike w:val="false"/>
        <w:vertAlign w:val="baseline"/>
        <w:position w:val="0"/>
        <w:sz w:val="24"/>
        <w:sz w:val="24"/>
        <w:spacing w:val="0"/>
        <w:i/>
        <w:u w:val="none"/>
        <w:b/>
        <w:kern w:val="0"/>
        <w:effect w:val="none"/>
        <w:iCs w:val="false"/>
        <w:vanish w:val="false"/>
        <w:rFonts w:ascii="Times New Roman Bold" w:hAnsi="Times New Roman Bold"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smallCaps w:val="false"/>
        <w:caps w:val="false"/>
        <w:dstrike w:val="false"/>
        <w:strike w:val="false"/>
        <w:vertAlign w:val="baseline"/>
        <w:position w:val="0"/>
        <w:sz w:val="22"/>
        <w:sz w:val="22"/>
        <w:spacing w:val="0"/>
        <w:i w:val="false"/>
        <w:u w:val="none"/>
        <w:b w:val="false"/>
        <w:kern w:val="0"/>
        <w:effect w:val="none"/>
        <w:iCs w:val="false"/>
        <w:bCs w:val="false"/>
        <w:w w:val="100"/>
        <w:vanish w:val="false"/>
        <w:rFonts w:ascii="Times New Roman" w:hAnsi="Times New Roman" w:cs="Times New Roman"/>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smallCaps w:val="false"/>
        <w:caps w:val="false"/>
        <w:dstrike w:val="false"/>
        <w:strike w:val="false"/>
        <w:vertAlign w:val="baseline"/>
        <w:position w:val="0"/>
        <w:sz w:val="22"/>
        <w:sz w:val="22"/>
        <w:i w:val="false"/>
        <w:u w:val="none"/>
        <w:b w:val="false"/>
        <w:effect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lvl w:ilvl="0">
      <w:start w:val="1"/>
      <w:numFmt w:val="decimal"/>
      <w:lvlText w:val="%1."/>
      <w:lvlJc w:val="left"/>
      <w:pPr>
        <w:tabs>
          <w:tab w:val="num" w:pos="0"/>
        </w:tabs>
        <w:ind w:left="0" w:hanging="0"/>
      </w:pPr>
      <w:rPr>
        <w:smallCaps w:val="false"/>
        <w:caps w:val="false"/>
        <w:dstrike w:val="false"/>
        <w:strike w:val="false"/>
        <w:vertAlign w:val="baseline"/>
        <w:position w:val="0"/>
        <w:sz w:val="24"/>
        <w:sz w:val="24"/>
        <w:i w:val="false"/>
        <w:u w:val="none"/>
        <w:b w:val="false"/>
        <w:vanish w:val="fals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lowerRoman"/>
      <w:lvlText w:val="%1."/>
      <w:lvlJc w:val="righ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16">
    <w:lvl w:ilvl="0">
      <w:start w:val="1"/>
      <w:numFmt w:val="lowerRoman"/>
      <w:lvlText w:val="%1."/>
      <w:lvlJc w:val="right"/>
      <w:pPr>
        <w:tabs>
          <w:tab w:val="num" w:pos="0"/>
        </w:tabs>
        <w:ind w:left="1789" w:hanging="360"/>
      </w:pPr>
      <w:rPr/>
    </w:lvl>
    <w:lvl w:ilvl="1">
      <w:start w:val="1"/>
      <w:numFmt w:val="lowerLetter"/>
      <w:lvlText w:val="%2."/>
      <w:lvlJc w:val="left"/>
      <w:pPr>
        <w:tabs>
          <w:tab w:val="num" w:pos="0"/>
        </w:tabs>
        <w:ind w:left="2509" w:hanging="360"/>
      </w:pPr>
      <w:rPr/>
    </w:lvl>
    <w:lvl w:ilvl="2">
      <w:start w:val="1"/>
      <w:numFmt w:val="lowerRoman"/>
      <w:lvlText w:val="%3."/>
      <w:lvlJc w:val="right"/>
      <w:pPr>
        <w:tabs>
          <w:tab w:val="num" w:pos="0"/>
        </w:tabs>
        <w:ind w:left="3229" w:hanging="180"/>
      </w:pPr>
      <w:rPr/>
    </w:lvl>
    <w:lvl w:ilvl="3">
      <w:start w:val="1"/>
      <w:numFmt w:val="decimal"/>
      <w:lvlText w:val="%4."/>
      <w:lvlJc w:val="left"/>
      <w:pPr>
        <w:tabs>
          <w:tab w:val="num" w:pos="0"/>
        </w:tabs>
        <w:ind w:left="3949" w:hanging="360"/>
      </w:pPr>
      <w:rPr/>
    </w:lvl>
    <w:lvl w:ilvl="4">
      <w:start w:val="1"/>
      <w:numFmt w:val="lowerLetter"/>
      <w:lvlText w:val="%5."/>
      <w:lvlJc w:val="left"/>
      <w:pPr>
        <w:tabs>
          <w:tab w:val="num" w:pos="0"/>
        </w:tabs>
        <w:ind w:left="4669" w:hanging="360"/>
      </w:pPr>
      <w:rPr/>
    </w:lvl>
    <w:lvl w:ilvl="5">
      <w:start w:val="1"/>
      <w:numFmt w:val="lowerRoman"/>
      <w:lvlText w:val="%6."/>
      <w:lvlJc w:val="right"/>
      <w:pPr>
        <w:tabs>
          <w:tab w:val="num" w:pos="0"/>
        </w:tabs>
        <w:ind w:left="5389" w:hanging="180"/>
      </w:pPr>
      <w:rPr/>
    </w:lvl>
    <w:lvl w:ilvl="6">
      <w:start w:val="1"/>
      <w:numFmt w:val="decimal"/>
      <w:lvlText w:val="%7."/>
      <w:lvlJc w:val="left"/>
      <w:pPr>
        <w:tabs>
          <w:tab w:val="num" w:pos="0"/>
        </w:tabs>
        <w:ind w:left="6109" w:hanging="360"/>
      </w:pPr>
      <w:rPr/>
    </w:lvl>
    <w:lvl w:ilvl="7">
      <w:start w:val="1"/>
      <w:numFmt w:val="lowerLetter"/>
      <w:lvlText w:val="%8."/>
      <w:lvlJc w:val="left"/>
      <w:pPr>
        <w:tabs>
          <w:tab w:val="num" w:pos="0"/>
        </w:tabs>
        <w:ind w:left="6829" w:hanging="360"/>
      </w:pPr>
      <w:rPr/>
    </w:lvl>
    <w:lvl w:ilvl="8">
      <w:start w:val="1"/>
      <w:numFmt w:val="lowerRoman"/>
      <w:lvlText w:val="%9."/>
      <w:lvlJc w:val="right"/>
      <w:pPr>
        <w:tabs>
          <w:tab w:val="num" w:pos="0"/>
        </w:tabs>
        <w:ind w:left="7549" w:hanging="180"/>
      </w:pPr>
      <w:rPr/>
    </w:lvl>
  </w:abstractNum>
  <w:abstractNum w:abstractNumId="17">
    <w:lvl w:ilvl="0">
      <w:start w:val="1"/>
      <w:numFmt w:val="lowerLetter"/>
      <w:lvlText w:val="(%1)"/>
      <w:lvlJc w:val="left"/>
      <w:pPr>
        <w:tabs>
          <w:tab w:val="num" w:pos="0"/>
        </w:tabs>
        <w:ind w:left="1069" w:hanging="360"/>
      </w:pPr>
      <w:rPr/>
    </w:lvl>
    <w:lvl w:ilvl="1">
      <w:start w:val="1"/>
      <w:numFmt w:val="lowerRoman"/>
      <w:lvlText w:val="%2."/>
      <w:lvlJc w:val="right"/>
      <w:pPr>
        <w:tabs>
          <w:tab w:val="num" w:pos="0"/>
        </w:tabs>
        <w:ind w:left="1789" w:hanging="360"/>
      </w:pPr>
      <w:rPr/>
    </w:lvl>
    <w:lvl w:ilvl="2">
      <w:start w:val="1"/>
      <w:numFmt w:val="lowerRoman"/>
      <w:lvlText w:val="%3."/>
      <w:lvlJc w:val="right"/>
      <w:pPr>
        <w:tabs>
          <w:tab w:val="num" w:pos="0"/>
        </w:tabs>
        <w:ind w:left="2509" w:hanging="180"/>
      </w:pPr>
      <w:rPr/>
    </w:lvl>
    <w:lvl w:ilvl="3">
      <w:start w:val="1"/>
      <w:numFmt w:val="upperLetter"/>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18">
    <w:lvl w:ilvl="0">
      <w:start w:val="1"/>
      <w:numFmt w:val="lowerRoman"/>
      <w:lvlText w:val="%1."/>
      <w:lvlJc w:val="right"/>
      <w:pPr>
        <w:tabs>
          <w:tab w:val="num" w:pos="0"/>
        </w:tabs>
        <w:ind w:left="1789" w:hanging="360"/>
      </w:pPr>
      <w:rPr/>
    </w:lvl>
    <w:lvl w:ilvl="1">
      <w:start w:val="1"/>
      <w:numFmt w:val="lowerLetter"/>
      <w:lvlText w:val="%2."/>
      <w:lvlJc w:val="left"/>
      <w:pPr>
        <w:tabs>
          <w:tab w:val="num" w:pos="0"/>
        </w:tabs>
        <w:ind w:left="2509" w:hanging="360"/>
      </w:pPr>
      <w:rPr/>
    </w:lvl>
    <w:lvl w:ilvl="2">
      <w:start w:val="1"/>
      <w:numFmt w:val="lowerRoman"/>
      <w:lvlText w:val="%3."/>
      <w:lvlJc w:val="right"/>
      <w:pPr>
        <w:tabs>
          <w:tab w:val="num" w:pos="0"/>
        </w:tabs>
        <w:ind w:left="3229" w:hanging="180"/>
      </w:pPr>
      <w:rPr/>
    </w:lvl>
    <w:lvl w:ilvl="3">
      <w:start w:val="1"/>
      <w:numFmt w:val="decimal"/>
      <w:lvlText w:val="%4."/>
      <w:lvlJc w:val="left"/>
      <w:pPr>
        <w:tabs>
          <w:tab w:val="num" w:pos="0"/>
        </w:tabs>
        <w:ind w:left="3949" w:hanging="360"/>
      </w:pPr>
      <w:rPr/>
    </w:lvl>
    <w:lvl w:ilvl="4">
      <w:start w:val="1"/>
      <w:numFmt w:val="lowerLetter"/>
      <w:lvlText w:val="%5."/>
      <w:lvlJc w:val="left"/>
      <w:pPr>
        <w:tabs>
          <w:tab w:val="num" w:pos="0"/>
        </w:tabs>
        <w:ind w:left="4669" w:hanging="360"/>
      </w:pPr>
      <w:rPr/>
    </w:lvl>
    <w:lvl w:ilvl="5">
      <w:start w:val="1"/>
      <w:numFmt w:val="lowerRoman"/>
      <w:lvlText w:val="%6."/>
      <w:lvlJc w:val="right"/>
      <w:pPr>
        <w:tabs>
          <w:tab w:val="num" w:pos="0"/>
        </w:tabs>
        <w:ind w:left="5389" w:hanging="180"/>
      </w:pPr>
      <w:rPr/>
    </w:lvl>
    <w:lvl w:ilvl="6">
      <w:start w:val="1"/>
      <w:numFmt w:val="decimal"/>
      <w:lvlText w:val="%7."/>
      <w:lvlJc w:val="left"/>
      <w:pPr>
        <w:tabs>
          <w:tab w:val="num" w:pos="0"/>
        </w:tabs>
        <w:ind w:left="6109" w:hanging="360"/>
      </w:pPr>
      <w:rPr/>
    </w:lvl>
    <w:lvl w:ilvl="7">
      <w:start w:val="1"/>
      <w:numFmt w:val="lowerLetter"/>
      <w:lvlText w:val="%8."/>
      <w:lvlJc w:val="left"/>
      <w:pPr>
        <w:tabs>
          <w:tab w:val="num" w:pos="0"/>
        </w:tabs>
        <w:ind w:left="6829" w:hanging="360"/>
      </w:pPr>
      <w:rPr/>
    </w:lvl>
    <w:lvl w:ilvl="8">
      <w:start w:val="1"/>
      <w:numFmt w:val="lowerRoman"/>
      <w:lvlText w:val="%9."/>
      <w:lvlJc w:val="right"/>
      <w:pPr>
        <w:tabs>
          <w:tab w:val="num" w:pos="0"/>
        </w:tabs>
        <w:ind w:left="7549"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embedSystemFonts/>
  <w:defaultTabStop w:val="720"/>
  <w:autoHyphenation w:val="true"/>
  <w:doNotHyphenateCaps/>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docVars>
    <w:docVar w:name="LW_DocType" w:val="NORMAL"/>
    <w:docVar w:name="Stamp" w:val="\\dossiers.dgt.cec.eu.int\dossiers\DEVCO\DEVCO-2011-00112\DEVCO-2011-00112-01-05-EN-REV-00.DOC"/>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IE" w:eastAsia="en-IE"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f634d"/>
    <w:pPr>
      <w:widowControl/>
      <w:suppressAutoHyphens w:val="true"/>
      <w:bidi w:val="0"/>
      <w:spacing w:before="0" w:after="120"/>
      <w:ind w:left="567"/>
      <w:jc w:val="both"/>
    </w:pPr>
    <w:rPr>
      <w:rFonts w:ascii="Times New Roman" w:hAnsi="Times New Roman" w:eastAsia="Times New Roman" w:cs="Times New Roman"/>
      <w:color w:val="auto"/>
      <w:kern w:val="0"/>
      <w:sz w:val="22"/>
      <w:szCs w:val="20"/>
      <w:lang w:val="en-GB" w:eastAsia="en-US" w:bidi="ar-SA"/>
    </w:rPr>
  </w:style>
  <w:style w:type="paragraph" w:styleId="Heading1">
    <w:name w:val="heading 1"/>
    <w:basedOn w:val="Normal"/>
    <w:next w:val="Normal"/>
    <w:link w:val="Heading1Char"/>
    <w:autoRedefine/>
    <w:qFormat/>
    <w:rsid w:val="00dc6b26"/>
    <w:pPr>
      <w:keepNext w:val="true"/>
      <w:spacing w:before="600" w:after="240"/>
      <w:ind w:left="0"/>
      <w:jc w:val="center"/>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5c5df4"/>
    <w:pPr>
      <w:keepNext w:val="true"/>
      <w:spacing w:before="200" w:after="120"/>
      <w:outlineLvl w:val="1"/>
    </w:pPr>
    <w:rPr>
      <w:b/>
      <w:szCs w:val="22"/>
    </w:rPr>
  </w:style>
  <w:style w:type="paragraph" w:styleId="Heading3">
    <w:name w:val="heading 3"/>
    <w:basedOn w:val="Normal"/>
    <w:next w:val="Normal"/>
    <w:link w:val="Heading3Char"/>
    <w:autoRedefine/>
    <w:qFormat/>
    <w:rsid w:val="008227d6"/>
    <w:pPr>
      <w:keepNext w:val="true"/>
      <w:numPr>
        <w:ilvl w:val="2"/>
        <w:numId w:val="1"/>
      </w:numPr>
      <w:spacing w:before="120" w:after="120"/>
      <w:outlineLvl w:val="2"/>
    </w:pPr>
    <w:rPr>
      <w:szCs w:val="22"/>
    </w:rPr>
  </w:style>
  <w:style w:type="paragraph" w:styleId="Heading4">
    <w:name w:val="heading 4"/>
    <w:basedOn w:val="Normal"/>
    <w:next w:val="Normal"/>
    <w:link w:val="Heading4Char"/>
    <w:autoRedefine/>
    <w:qFormat/>
    <w:rsid w:val="005d7ab8"/>
    <w:pPr>
      <w:numPr>
        <w:ilvl w:val="3"/>
        <w:numId w:val="1"/>
      </w:numPr>
      <w:spacing w:before="120" w:after="120"/>
      <w:outlineLvl w:val="3"/>
    </w:pPr>
    <w:rPr>
      <w:szCs w:val="22"/>
    </w:rPr>
  </w:style>
  <w:style w:type="paragraph" w:styleId="Heading5">
    <w:name w:val="heading 5"/>
    <w:basedOn w:val="Normal"/>
    <w:next w:val="Normal"/>
    <w:qFormat/>
    <w:rsid w:val="007f233f"/>
    <w:pPr>
      <w:numPr>
        <w:ilvl w:val="4"/>
        <w:numId w:val="1"/>
      </w:numPr>
      <w:spacing w:before="240" w:after="120"/>
      <w:outlineLvl w:val="4"/>
    </w:pPr>
    <w:rPr>
      <w:szCs w:val="22"/>
    </w:rPr>
  </w:style>
  <w:style w:type="paragraph" w:styleId="Heading6">
    <w:name w:val="heading 6"/>
    <w:basedOn w:val="Normal"/>
    <w:next w:val="Normal"/>
    <w:link w:val="Heading6Char"/>
    <w:semiHidden/>
    <w:unhideWhenUsed/>
    <w:qFormat/>
    <w:rsid w:val="00e97dd1"/>
    <w:pPr>
      <w:numPr>
        <w:ilvl w:val="5"/>
        <w:numId w:val="1"/>
      </w:numPr>
      <w:spacing w:before="240" w:after="60"/>
      <w:outlineLvl w:val="5"/>
    </w:pPr>
    <w:rPr>
      <w:rFonts w:ascii="Calibri" w:hAnsi="Calibri"/>
      <w:b/>
      <w:bCs/>
      <w:szCs w:val="22"/>
    </w:rPr>
  </w:style>
  <w:style w:type="paragraph" w:styleId="Heading7">
    <w:name w:val="heading 7"/>
    <w:basedOn w:val="Normal"/>
    <w:next w:val="Normal"/>
    <w:qFormat/>
    <w:pPr>
      <w:keepNext w:val="true"/>
      <w:numPr>
        <w:ilvl w:val="6"/>
        <w:numId w:val="1"/>
      </w:numPr>
      <w:jc w:val="center"/>
      <w:outlineLvl w:val="6"/>
    </w:pPr>
    <w:rPr>
      <w:rFonts w:ascii="Arial" w:hAnsi="Arial"/>
      <w:b/>
      <w:color w:val="008000"/>
      <w:sz w:val="32"/>
    </w:rPr>
  </w:style>
  <w:style w:type="paragraph" w:styleId="Heading8">
    <w:name w:val="heading 8"/>
    <w:basedOn w:val="Normal"/>
    <w:next w:val="Normal"/>
    <w:qFormat/>
    <w:pPr>
      <w:keepNext w:val="true"/>
      <w:numPr>
        <w:ilvl w:val="7"/>
        <w:numId w:val="1"/>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
      </w:numPr>
      <w:spacing w:before="240" w:after="60"/>
      <w:outlineLvl w:val="8"/>
    </w:pPr>
    <w:rPr>
      <w:rFonts w:ascii="Cambria" w:hAnsi="Cambria"/>
      <w:szCs w:val="22"/>
    </w:rPr>
  </w:style>
  <w:style w:type="character" w:styleId="DefaultParagraphFont" w:default="1">
    <w:name w:val="Default Paragraph Font"/>
    <w:uiPriority w:val="1"/>
    <w:semiHidden/>
    <w:unhideWhenUsed/>
    <w:qFormat/>
    <w:rPr/>
  </w:style>
  <w:style w:type="character" w:styleId="Hyperlink">
    <w:name w:val="Hyperlink"/>
    <w:rPr>
      <w:color w:val="0000FF"/>
      <w:u w:val="single"/>
    </w:rPr>
  </w:style>
  <w:style w:type="character" w:styleId="FootnoteCharactersuser">
    <w:name w:val="Footnote Characters (user)"/>
    <w:link w:val="Char2"/>
    <w:qFormat/>
    <w:rPr>
      <w:vertAlign w:val="superscript"/>
    </w:rPr>
  </w:style>
  <w:style w:type="character" w:styleId="FootnoteCharacters">
    <w:name w:val="Footnote Characters"/>
    <w:qFormat/>
    <w:rPr>
      <w:vertAlign w:val="superscript"/>
    </w:rPr>
  </w:style>
  <w:style w:type="character" w:styleId="FootnoteReference">
    <w:name w:val="footnote reference"/>
    <w:rPr>
      <w:vertAlign w:val="superscript"/>
    </w:rPr>
  </w:style>
  <w:style w:type="character" w:styleId="PageNumber">
    <w:name w:val="page number"/>
    <w:basedOn w:val="DefaultParagraphFont"/>
    <w:rPr/>
  </w:style>
  <w:style w:type="character" w:styleId="FollowedHyperlink">
    <w:name w:val="FollowedHyperlink"/>
    <w:rPr>
      <w:color w:val="800080"/>
      <w:u w:val="single"/>
    </w:rPr>
  </w:style>
  <w:style w:type="character" w:styleId="tw4winMark" w:customStyle="1">
    <w:name w:val="tw4winMark"/>
    <w:qFormat/>
    <w:rsid w:val="0068234b"/>
    <w:rPr>
      <w:rFonts w:ascii="Times New Roman" w:hAnsi="Times New Roman" w:cs="Times New Roman"/>
      <w:vanish/>
      <w:color w:val="800080"/>
      <w:sz w:val="24"/>
      <w:szCs w:val="24"/>
      <w:vertAlign w:val="subscript"/>
    </w:rPr>
  </w:style>
  <w:style w:type="character" w:styleId="CommentTextChar" w:customStyle="1">
    <w:name w:val="Comment Text Char"/>
    <w:link w:val="CommentText"/>
    <w:qFormat/>
    <w:rsid w:val="00f557e2"/>
    <w:rPr>
      <w:lang w:eastAsia="en-US"/>
    </w:rPr>
  </w:style>
  <w:style w:type="character" w:styleId="Heading2Char" w:customStyle="1">
    <w:name w:val="Heading 2 Char"/>
    <w:link w:val="Heading2"/>
    <w:qFormat/>
    <w:locked/>
    <w:rsid w:val="005c5df4"/>
    <w:rPr>
      <w:b/>
      <w:sz w:val="22"/>
      <w:szCs w:val="22"/>
      <w:lang w:val="en-GB" w:eastAsia="en-US"/>
    </w:rPr>
  </w:style>
  <w:style w:type="character" w:styleId="Strong">
    <w:name w:val="Strong"/>
    <w:qFormat/>
    <w:rsid w:val="0068234b"/>
    <w:rPr>
      <w:b/>
    </w:rPr>
  </w:style>
  <w:style w:type="character" w:styleId="DefaultMargins" w:customStyle="1">
    <w:name w:val="DefaultMargins"/>
    <w:qFormat/>
    <w:rsid w:val="001050ee"/>
    <w:rPr>
      <w:rFonts w:ascii="Courier" w:hAnsi="Courier" w:cs="Courier"/>
      <w:sz w:val="24"/>
      <w:szCs w:val="24"/>
      <w:lang w:val="en-US"/>
    </w:rPr>
  </w:style>
  <w:style w:type="character" w:styleId="Heading3Char" w:customStyle="1">
    <w:name w:val="Heading 3 Char"/>
    <w:link w:val="Heading3"/>
    <w:qFormat/>
    <w:rsid w:val="008227d6"/>
    <w:rPr>
      <w:sz w:val="22"/>
      <w:szCs w:val="22"/>
      <w:lang w:val="en-GB" w:eastAsia="en-US"/>
    </w:rPr>
  </w:style>
  <w:style w:type="character" w:styleId="Normal2Char" w:customStyle="1">
    <w:name w:val="Normal2 Char"/>
    <w:link w:val="Normal2"/>
    <w:qFormat/>
    <w:rsid w:val="005478e4"/>
    <w:rPr>
      <w:color w:val="000000"/>
      <w:sz w:val="22"/>
      <w:szCs w:val="22"/>
      <w:lang w:val="en-US" w:eastAsia="en-US" w:bidi="ar-SA"/>
    </w:rPr>
  </w:style>
  <w:style w:type="character" w:styleId="StyleHeading3Char" w:customStyle="1">
    <w:name w:val="Style Heading 3 Char"/>
    <w:link w:val="StyleHeading3"/>
    <w:qFormat/>
    <w:rsid w:val="005478e4"/>
    <w:rPr>
      <w:b/>
      <w:bCs/>
      <w:sz w:val="22"/>
      <w:szCs w:val="26"/>
      <w:lang w:val="en-US" w:eastAsia="en-US"/>
    </w:rPr>
  </w:style>
  <w:style w:type="character" w:styleId="Style11pt" w:customStyle="1">
    <w:name w:val="Style 11 pt"/>
    <w:qFormat/>
    <w:rsid w:val="00b7615b"/>
    <w:rPr>
      <w:sz w:val="22"/>
    </w:rPr>
  </w:style>
  <w:style w:type="character" w:styleId="CommentReference">
    <w:name w:val="annotation reference"/>
    <w:uiPriority w:val="99"/>
    <w:qFormat/>
    <w:rsid w:val="004842dd"/>
    <w:rPr>
      <w:sz w:val="16"/>
      <w:szCs w:val="16"/>
    </w:rPr>
  </w:style>
  <w:style w:type="character" w:styleId="BodyText2Char" w:customStyle="1">
    <w:name w:val="Body Text 2 Char"/>
    <w:link w:val="BodyText2"/>
    <w:qFormat/>
    <w:rsid w:val="00f74319"/>
    <w:rPr>
      <w:sz w:val="24"/>
      <w:lang w:val="sv-SE"/>
    </w:rPr>
  </w:style>
  <w:style w:type="character" w:styleId="pointarticleChar" w:customStyle="1">
    <w:name w:val="point article Char"/>
    <w:link w:val="pointarticle"/>
    <w:qFormat/>
    <w:locked/>
    <w:rsid w:val="00290ae7"/>
    <w:rPr>
      <w:lang w:val="en-GB" w:eastAsia="en-US"/>
    </w:rPr>
  </w:style>
  <w:style w:type="character" w:styleId="Heading4Char" w:customStyle="1">
    <w:name w:val="Heading 4 Char"/>
    <w:link w:val="Heading4"/>
    <w:qFormat/>
    <w:rsid w:val="005d7ab8"/>
    <w:rPr>
      <w:sz w:val="22"/>
      <w:szCs w:val="22"/>
      <w:lang w:val="en-GB" w:eastAsia="en-US"/>
    </w:rPr>
  </w:style>
  <w:style w:type="character" w:styleId="Heading6Char" w:customStyle="1">
    <w:name w:val="Heading 6 Char"/>
    <w:link w:val="Heading6"/>
    <w:semiHidden/>
    <w:qFormat/>
    <w:rsid w:val="00e97dd1"/>
    <w:rPr>
      <w:rFonts w:ascii="Calibri" w:hAnsi="Calibri"/>
      <w:b/>
      <w:bCs/>
      <w:sz w:val="22"/>
      <w:szCs w:val="22"/>
      <w:lang w:val="en-GB" w:eastAsia="en-US"/>
    </w:rPr>
  </w:style>
  <w:style w:type="character" w:styleId="Heading9Char" w:customStyle="1">
    <w:name w:val="Heading 9 Char"/>
    <w:link w:val="Heading9"/>
    <w:semiHidden/>
    <w:qFormat/>
    <w:rsid w:val="00e97dd1"/>
    <w:rPr>
      <w:rFonts w:ascii="Cambria" w:hAnsi="Cambria"/>
      <w:sz w:val="22"/>
      <w:szCs w:val="22"/>
      <w:lang w:val="en-GB" w:eastAsia="en-US"/>
    </w:rPr>
  </w:style>
  <w:style w:type="character" w:styleId="Emphasis">
    <w:name w:val="Emphasis"/>
    <w:qFormat/>
    <w:rsid w:val="006d46e8"/>
    <w:rPr>
      <w:i/>
    </w:rPr>
  </w:style>
  <w:style w:type="character" w:styleId="FootnoteTextChar" w:customStyle="1">
    <w:name w:val="Footnote Text Char"/>
    <w:link w:val="FootnoteText"/>
    <w:uiPriority w:val="99"/>
    <w:qFormat/>
    <w:rsid w:val="00af4f70"/>
    <w:rPr>
      <w:lang w:val="en-GB" w:eastAsia="en-US"/>
    </w:rPr>
  </w:style>
  <w:style w:type="character" w:styleId="NumberedChar" w:customStyle="1">
    <w:name w:val="Numbered Char"/>
    <w:link w:val="Numbered"/>
    <w:qFormat/>
    <w:rsid w:val="00c15024"/>
    <w:rPr>
      <w:sz w:val="24"/>
      <w:szCs w:val="24"/>
      <w:lang w:val="en-GB" w:eastAsia="en-GB"/>
    </w:rPr>
  </w:style>
  <w:style w:type="character" w:styleId="normaltextrun" w:customStyle="1">
    <w:name w:val="normaltextrun"/>
    <w:qFormat/>
    <w:rsid w:val="009a2a36"/>
    <w:rPr/>
  </w:style>
  <w:style w:type="character" w:styleId="Text1Char" w:customStyle="1">
    <w:name w:val="Text 1 Char"/>
    <w:link w:val="Text1"/>
    <w:qFormat/>
    <w:rsid w:val="00fb10f5"/>
    <w:rPr>
      <w:sz w:val="22"/>
      <w:lang w:eastAsia="en-US"/>
    </w:rPr>
  </w:style>
  <w:style w:type="character" w:styleId="Heading1Char" w:customStyle="1">
    <w:name w:val="Heading 1 Char"/>
    <w:link w:val="Heading1"/>
    <w:qFormat/>
    <w:rsid w:val="00dc6b26"/>
    <w:rPr>
      <w:rFonts w:ascii="Times New Roman Bold" w:hAnsi="Times New Roman Bold"/>
      <w:b/>
      <w:caps/>
      <w:color w:val="000000"/>
      <w:sz w:val="28"/>
      <w:szCs w:val="28"/>
      <w:lang w:val="en-GB" w:eastAsia="en-US"/>
    </w:rPr>
  </w:style>
  <w:style w:type="character" w:styleId="UnresolvedMention" w:customStyle="1">
    <w:name w:val="Unresolved Mention"/>
    <w:basedOn w:val="DefaultParagraphFont"/>
    <w:uiPriority w:val="99"/>
    <w:semiHidden/>
    <w:unhideWhenUsed/>
    <w:qFormat/>
    <w:rsid w:val="00032e53"/>
    <w:rPr>
      <w:color w:val="605E5C"/>
      <w:shd w:fill="E1DFDD" w:val="clear"/>
    </w:rPr>
  </w:style>
  <w:style w:type="character" w:styleId="EndnoteCharacters">
    <w:name w:val="Endnote Characters"/>
    <w:qFormat/>
    <w:rPr>
      <w:vertAlign w:val="superscript"/>
    </w:rPr>
  </w:style>
  <w:style w:type="character" w:styleId="EndnoteReference">
    <w:name w:val="endnote reference"/>
    <w:rPr>
      <w:vertAlign w:val="superscript"/>
    </w:rPr>
  </w:style>
  <w:style w:type="character" w:styleId="EndnoteCharactersuser">
    <w:name w:val="Endnote Characters (user)"/>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rFonts w:ascii="Arial" w:hAnsi="Arial"/>
      <w:sz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oddl-nadpis" w:customStyle="1">
    <w:name w:val="oddíl-nadpis"/>
    <w:basedOn w:val="Normal"/>
    <w:qFormat/>
    <w:pPr>
      <w:keepNext w:val="true"/>
      <w:widowControl w:val="false"/>
      <w:tabs>
        <w:tab w:val="clear" w:pos="720"/>
        <w:tab w:val="left" w:pos="567" w:leader="none"/>
      </w:tabs>
      <w:spacing w:lineRule="exact" w:line="240" w:before="240" w:after="120"/>
    </w:pPr>
    <w:rPr>
      <w:rFonts w:ascii="Arial" w:hAnsi="Arial"/>
      <w:b/>
      <w:lang w:val="cs-CZ"/>
    </w:rPr>
  </w:style>
  <w:style w:type="paragraph" w:styleId="text-3mezera" w:customStyle="1">
    <w:name w:val="text - 3 mezera"/>
    <w:basedOn w:val="Normal"/>
    <w:qFormat/>
    <w:pPr>
      <w:widowControl w:val="false"/>
      <w:spacing w:lineRule="exact" w:line="240" w:before="60" w:after="120"/>
    </w:pPr>
    <w:rPr>
      <w:rFonts w:ascii="Arial" w:hAnsi="Arial"/>
      <w:lang w:val="cs-CZ"/>
    </w:rPr>
  </w:style>
  <w:style w:type="paragraph" w:styleId="ListParagraph">
    <w:name w:val="List Paragraph"/>
    <w:basedOn w:val="Normal"/>
    <w:uiPriority w:val="34"/>
    <w:qFormat/>
    <w:rsid w:val="00d93576"/>
    <w:pPr>
      <w:spacing w:before="0" w:after="0"/>
      <w:ind w:left="720"/>
      <w:jc w:val="left"/>
    </w:pPr>
    <w:rPr>
      <w:rFonts w:ascii="Calibri" w:hAnsi="Calibri" w:eastAsia="Calibri"/>
      <w:szCs w:val="22"/>
    </w:rPr>
  </w:style>
  <w:style w:type="paragraph" w:styleId="PRAGHeading2" w:customStyle="1">
    <w:name w:val="PRAG Heading 2"/>
    <w:basedOn w:val="Normal"/>
    <w:qFormat/>
    <w:rsid w:val="004a0333"/>
    <w:pPr>
      <w:widowControl w:val="false"/>
      <w:numPr>
        <w:ilvl w:val="0"/>
        <w:numId w:val="12"/>
      </w:numPr>
      <w:spacing w:before="100" w:after="100"/>
      <w:jc w:val="left"/>
    </w:pPr>
    <w:rPr>
      <w:sz w:val="24"/>
      <w:lang w:val="fr-FR"/>
    </w:rPr>
  </w:style>
  <w:style w:type="paragraph" w:styleId="bulletsub" w:customStyle="1">
    <w:name w:val="bullet_sub"/>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hanging="360" w:left="2912"/>
    </w:pPr>
    <w:rPr>
      <w:rFonts w:ascii="Arial" w:hAnsi="Arial"/>
    </w:rPr>
  </w:style>
  <w:style w:type="paragraph" w:styleId="TOC2">
    <w:name w:val="toc 2"/>
    <w:basedOn w:val="Normal"/>
    <w:next w:val="Normal"/>
    <w:autoRedefine/>
    <w:uiPriority w:val="39"/>
    <w:rsid w:val="00851e9b"/>
    <w:pPr>
      <w:tabs>
        <w:tab w:val="clear" w:pos="720"/>
        <w:tab w:val="left" w:pos="737" w:leader="none"/>
        <w:tab w:val="right" w:pos="9072" w:leader="hyphen"/>
      </w:tabs>
      <w:spacing w:before="0" w:after="80"/>
      <w:ind w:hanging="737" w:left="1021" w:right="425"/>
      <w:jc w:val="left"/>
    </w:pPr>
    <w:rPr/>
  </w:style>
  <w:style w:type="paragraph" w:styleId="TOC1">
    <w:name w:val="toc 1"/>
    <w:basedOn w:val="Normal"/>
    <w:next w:val="Normal"/>
    <w:autoRedefine/>
    <w:uiPriority w:val="39"/>
    <w:rsid w:val="00851e9b"/>
    <w:pPr>
      <w:tabs>
        <w:tab w:val="clear" w:pos="720"/>
        <w:tab w:val="right" w:pos="9072" w:leader="dot"/>
      </w:tabs>
      <w:ind w:left="0"/>
      <w:jc w:val="left"/>
    </w:pPr>
    <w:rPr>
      <w:b/>
      <w:sz w:val="24"/>
    </w:rPr>
  </w:style>
  <w:style w:type="paragraph" w:styleId="bullet-3" w:customStyle="1">
    <w:name w:val="bullet-3"/>
    <w:basedOn w:val="Normal"/>
    <w:qFormat/>
    <w:pPr>
      <w:widowControl w:val="false"/>
      <w:spacing w:lineRule="exact" w:line="240" w:before="240" w:after="120"/>
      <w:ind w:hanging="284" w:left="2212"/>
    </w:pPr>
    <w:rPr>
      <w:rFonts w:ascii="Arial" w:hAnsi="Arial"/>
      <w:lang w:val="cs-CZ"/>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536" w:leader="none"/>
        <w:tab w:val="right" w:pos="9072" w:leader="none"/>
      </w:tabs>
    </w:pPr>
    <w:rPr>
      <w:rFonts w:ascii="Arial" w:hAnsi="Arial"/>
      <w:sz w:val="20"/>
    </w:rPr>
  </w:style>
  <w:style w:type="paragraph" w:styleId="BodyTextIndent">
    <w:name w:val="Body Text Indent"/>
    <w:basedOn w:val="Normal"/>
    <w:pPr/>
    <w:rPr/>
  </w:style>
  <w:style w:type="paragraph" w:styleId="NormalIndent">
    <w:name w:val="Normal Indent"/>
    <w:basedOn w:val="Normal"/>
    <w:qFormat/>
    <w:pPr>
      <w:ind w:left="708"/>
    </w:pPr>
    <w:rPr>
      <w:rFonts w:ascii="Arial" w:hAnsi="Arial"/>
      <w:sz w:val="20"/>
    </w:rPr>
  </w:style>
  <w:style w:type="paragraph" w:styleId="tabulka" w:customStyle="1">
    <w:name w:val="tabulka"/>
    <w:basedOn w:val="text-3mezera"/>
    <w:qFormat/>
    <w:pPr>
      <w:spacing w:before="120" w:after="120"/>
      <w:jc w:val="center"/>
    </w:pPr>
    <w:rPr>
      <w:sz w:val="20"/>
    </w:rPr>
  </w:style>
  <w:style w:type="paragraph" w:styleId="FootnoteText">
    <w:name w:val="footnote text"/>
    <w:basedOn w:val="Normal"/>
    <w:link w:val="FootnoteTextChar"/>
    <w:autoRedefine/>
    <w:uiPriority w:val="99"/>
    <w:qFormat/>
    <w:rsid w:val="00af4f70"/>
    <w:pPr>
      <w:tabs>
        <w:tab w:val="clear" w:pos="720"/>
        <w:tab w:val="left" w:pos="284" w:leader="none"/>
      </w:tabs>
      <w:ind w:hanging="284" w:left="284"/>
    </w:pPr>
    <w:rPr>
      <w:sz w:val="20"/>
    </w:rPr>
  </w:style>
  <w:style w:type="paragraph" w:styleId="Volume" w:customStyle="1">
    <w:name w:val="Volume"/>
    <w:basedOn w:val="text"/>
    <w:next w:val="Section"/>
    <w:qFormat/>
    <w:pPr>
      <w:pageBreakBefore/>
      <w:spacing w:lineRule="exact" w:line="360" w:before="360" w:after="0"/>
      <w:jc w:val="center"/>
    </w:pPr>
    <w:rPr>
      <w:b/>
      <w:sz w:val="36"/>
    </w:rPr>
  </w:style>
  <w:style w:type="paragraph" w:styleId="text" w:customStyle="1">
    <w:name w:val="text"/>
    <w:qFormat/>
    <w:pPr>
      <w:widowControl w:val="false"/>
      <w:suppressAutoHyphens w:val="true"/>
      <w:bidi w:val="0"/>
      <w:spacing w:lineRule="exact" w:line="240" w:before="240" w:after="0"/>
      <w:jc w:val="both"/>
    </w:pPr>
    <w:rPr>
      <w:rFonts w:ascii="Arial" w:hAnsi="Arial" w:eastAsia="Times New Roman" w:cs="Times New Roman"/>
      <w:color w:val="auto"/>
      <w:kern w:val="0"/>
      <w:sz w:val="24"/>
      <w:szCs w:val="20"/>
      <w:lang w:val="cs-CZ" w:eastAsia="en-US" w:bidi="ar-SA"/>
    </w:rPr>
  </w:style>
  <w:style w:type="paragraph" w:styleId="Section" w:customStyle="1">
    <w:name w:val="Section"/>
    <w:basedOn w:val="Volume"/>
    <w:qFormat/>
    <w:pPr>
      <w:pageBreakBefore w:val="false"/>
      <w:spacing w:before="0" w:after="0"/>
    </w:pPr>
    <w:rPr>
      <w:sz w:val="32"/>
    </w:rPr>
  </w:style>
  <w:style w:type="paragraph" w:styleId="textcslovan" w:customStyle="1">
    <w:name w:val="text císlovaný"/>
    <w:basedOn w:val="text"/>
    <w:qFormat/>
    <w:pPr>
      <w:ind w:hanging="567" w:left="567"/>
    </w:pPr>
    <w:rPr/>
  </w:style>
  <w:style w:type="paragraph" w:styleId="Nadpis-STRANA" w:customStyle="1">
    <w:name w:val="Nadpis - STRANA"/>
    <w:basedOn w:val="text"/>
    <w:next w:val="Volume"/>
    <w:qFormat/>
    <w:pPr>
      <w:pageBreakBefore/>
      <w:spacing w:lineRule="exact" w:line="520" w:before="5040" w:after="0"/>
      <w:jc w:val="center"/>
    </w:pPr>
    <w:rPr>
      <w:b/>
      <w:sz w:val="36"/>
    </w:rPr>
  </w:style>
  <w:style w:type="paragraph" w:styleId="PlainText">
    <w:name w:val="Plain Text"/>
    <w:basedOn w:val="Normal"/>
    <w:qFormat/>
    <w:pPr/>
    <w:rPr>
      <w:rFonts w:ascii="Courier New" w:hAnsi="Courier New"/>
      <w:sz w:val="20"/>
    </w:rPr>
  </w:style>
  <w:style w:type="paragraph" w:styleId="Blockquote" w:customStyle="1">
    <w:name w:val="Blockquote"/>
    <w:basedOn w:val="Normal"/>
    <w:qFormat/>
    <w:pPr>
      <w:widowControl w:val="false"/>
      <w:spacing w:before="100" w:after="100"/>
      <w:ind w:left="360" w:right="360"/>
    </w:pPr>
    <w:rPr/>
  </w:style>
  <w:style w:type="paragraph" w:styleId="Text1" w:customStyle="1">
    <w:name w:val="Text 1"/>
    <w:basedOn w:val="Normal"/>
    <w:link w:val="Text1Char"/>
    <w:qFormat/>
    <w:pPr>
      <w:spacing w:before="120" w:after="120"/>
      <w:ind w:left="851"/>
    </w:pPr>
    <w:rPr/>
  </w:style>
  <w:style w:type="paragraph" w:styleId="ManualNumPar1" w:customStyle="1">
    <w:name w:val="Manual NumPar 1"/>
    <w:basedOn w:val="Normal"/>
    <w:next w:val="Text1"/>
    <w:qFormat/>
    <w:pPr>
      <w:spacing w:before="120" w:after="120"/>
      <w:ind w:hanging="851" w:left="851"/>
    </w:pPr>
    <w:rPr/>
  </w:style>
  <w:style w:type="paragraph" w:styleId="Point1" w:customStyle="1">
    <w:name w:val="Point 1"/>
    <w:basedOn w:val="Normal"/>
    <w:qFormat/>
    <w:pPr>
      <w:spacing w:before="120" w:after="120"/>
      <w:ind w:hanging="567" w:left="1418"/>
    </w:pPr>
    <w:r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uiPriority w:val="39"/>
    <w:rsid w:val="00851e9b"/>
    <w:pPr>
      <w:ind w:left="480"/>
      <w:jc w:val="left"/>
    </w:pPr>
    <w:rPr/>
  </w:style>
  <w:style w:type="paragraph" w:styleId="TOC4">
    <w:name w:val="toc 4"/>
    <w:basedOn w:val="Normal"/>
    <w:next w:val="Normal"/>
    <w:autoRedefine/>
    <w:uiPriority w:val="39"/>
    <w:pPr>
      <w:ind w:left="720"/>
    </w:pPr>
    <w:rPr/>
  </w:style>
  <w:style w:type="paragraph" w:styleId="TOC5">
    <w:name w:val="toc 5"/>
    <w:basedOn w:val="Normal"/>
    <w:next w:val="Normal"/>
    <w:autoRedefine/>
    <w:uiPriority w:val="39"/>
    <w:pPr>
      <w:ind w:left="960"/>
    </w:pPr>
    <w:rPr/>
  </w:style>
  <w:style w:type="paragraph" w:styleId="TOC6">
    <w:name w:val="toc 6"/>
    <w:basedOn w:val="Normal"/>
    <w:next w:val="Normal"/>
    <w:autoRedefine/>
    <w:uiPriority w:val="39"/>
    <w:pPr>
      <w:ind w:left="1200"/>
    </w:pPr>
    <w:rPr/>
  </w:style>
  <w:style w:type="paragraph" w:styleId="TOC7">
    <w:name w:val="toc 7"/>
    <w:basedOn w:val="Normal"/>
    <w:next w:val="Normal"/>
    <w:autoRedefine/>
    <w:uiPriority w:val="39"/>
    <w:pPr>
      <w:ind w:left="1440"/>
    </w:pPr>
    <w:rPr/>
  </w:style>
  <w:style w:type="paragraph" w:styleId="TOC8">
    <w:name w:val="toc 8"/>
    <w:basedOn w:val="Normal"/>
    <w:next w:val="Normal"/>
    <w:autoRedefine/>
    <w:uiPriority w:val="39"/>
    <w:pPr>
      <w:ind w:left="1680"/>
    </w:pPr>
    <w:rPr/>
  </w:style>
  <w:style w:type="paragraph" w:styleId="TOC9">
    <w:name w:val="toc 9"/>
    <w:basedOn w:val="Normal"/>
    <w:next w:val="Normal"/>
    <w:autoRedefine/>
    <w:uiPriority w:val="39"/>
    <w:pPr>
      <w:ind w:left="1920"/>
    </w:pPr>
    <w:rPr/>
  </w:style>
  <w:style w:type="paragraph" w:styleId="BalloonText">
    <w:name w:val="Balloon Text"/>
    <w:basedOn w:val="Normal"/>
    <w:semiHidden/>
    <w:qFormat/>
    <w:rsid w:val="0087152f"/>
    <w:pPr/>
    <w:rPr>
      <w:rFonts w:ascii="Tahoma" w:hAnsi="Tahoma" w:cs="Tahoma"/>
      <w:sz w:val="16"/>
      <w:szCs w:val="16"/>
    </w:rPr>
  </w:style>
  <w:style w:type="paragraph" w:styleId="titre4" w:customStyle="1">
    <w:name w:val="titre4"/>
    <w:basedOn w:val="Normal"/>
    <w:qFormat/>
    <w:pPr>
      <w:numPr>
        <w:ilvl w:val="0"/>
        <w:numId w:val="3"/>
      </w:numPr>
      <w:tabs>
        <w:tab w:val="clear" w:pos="720"/>
        <w:tab w:val="decimal" w:pos="357" w:leader="none"/>
      </w:tabs>
      <w:ind w:hanging="357" w:left="357"/>
    </w:pPr>
    <w:rPr>
      <w:rFonts w:ascii="Arial" w:hAnsi="Arial"/>
      <w:b/>
    </w:rPr>
  </w:style>
  <w:style w:type="paragraph" w:styleId="Index1">
    <w:name w:val="index 1"/>
    <w:basedOn w:val="Normal"/>
    <w:next w:val="Normal"/>
    <w:autoRedefine/>
    <w:semiHidden/>
    <w:pPr>
      <w:ind w:hanging="240" w:left="240"/>
    </w:pPr>
    <w:rPr/>
  </w:style>
  <w:style w:type="paragraph" w:styleId="BodyText2">
    <w:name w:val="Body Text 2"/>
    <w:basedOn w:val="Normal"/>
    <w:link w:val="BodyText2Char"/>
    <w:qFormat/>
    <w:rsid w:val="0068234b"/>
    <w:pPr>
      <w:tabs>
        <w:tab w:val="clear" w:pos="720"/>
        <w:tab w:val="left" w:pos="567" w:leader="none"/>
      </w:tabs>
    </w:pPr>
    <w:rPr>
      <w:lang w:val="sv-SE" w:eastAsia="en-GB"/>
    </w:rPr>
  </w:style>
  <w:style w:type="paragraph" w:styleId="corpsarticle" w:customStyle="1">
    <w:name w:val="corps_article"/>
    <w:basedOn w:val="BodyText"/>
    <w:qFormat/>
    <w:rsid w:val="001050ee"/>
    <w:pPr>
      <w:spacing w:before="60" w:after="60"/>
      <w:ind w:right="-1"/>
    </w:pPr>
    <w:rPr>
      <w:rFonts w:ascii="Times New Roman" w:hAnsi="Times New Roman"/>
      <w:sz w:val="22"/>
      <w:lang w:eastAsia="fr-FR"/>
    </w:rPr>
  </w:style>
  <w:style w:type="paragraph" w:styleId="evidence1" w:customStyle="1">
    <w:name w:val="evidence1"/>
    <w:basedOn w:val="Normal"/>
    <w:qFormat/>
    <w:rsid w:val="001050ee"/>
    <w:pPr>
      <w:spacing w:lineRule="auto" w:line="360"/>
      <w:ind w:hanging="283" w:left="1134"/>
    </w:pPr>
    <w:rPr>
      <w:rFonts w:ascii="Arial" w:hAnsi="Arial" w:cs="Arial"/>
      <w:sz w:val="20"/>
      <w:lang w:eastAsia="en-GB"/>
    </w:rPr>
  </w:style>
  <w:style w:type="paragraph" w:styleId="DocumentMap">
    <w:name w:val="Document Map"/>
    <w:basedOn w:val="Normal"/>
    <w:semiHidden/>
    <w:qFormat/>
    <w:rsid w:val="005478e4"/>
    <w:pPr>
      <w:shd w:val="clear" w:color="auto" w:fill="000080"/>
    </w:pPr>
    <w:rPr>
      <w:rFonts w:ascii="Tahoma" w:hAnsi="Tahoma" w:cs="Tahoma"/>
      <w:sz w:val="20"/>
      <w:lang w:eastAsia="en-GB"/>
    </w:rPr>
  </w:style>
  <w:style w:type="paragraph" w:styleId="Style21" w:customStyle="1">
    <w:name w:val="Style2"/>
    <w:basedOn w:val="Normal"/>
    <w:next w:val="Normal"/>
    <w:autoRedefine/>
    <w:qFormat/>
    <w:rsid w:val="005478e4"/>
    <w:pPr>
      <w:widowControl w:val="false"/>
      <w:numPr>
        <w:ilvl w:val="0"/>
        <w:numId w:val="2"/>
      </w:numPr>
      <w:shd w:val="clear" w:color="auto" w:fill="FFFFFF"/>
      <w:tabs>
        <w:tab w:val="clear" w:pos="720"/>
        <w:tab w:val="left" w:pos="1620" w:leader="none"/>
      </w:tabs>
      <w:spacing w:before="173" w:after="120"/>
      <w:ind w:hanging="352" w:left="1616" w:right="6"/>
    </w:pPr>
    <w:rPr>
      <w:color w:val="000000"/>
      <w:szCs w:val="22"/>
      <w:lang w:val="en-US"/>
    </w:rPr>
  </w:style>
  <w:style w:type="paragraph" w:styleId="Style11ptBlackJustifiedRight001cmBefore865ptL" w:customStyle="1">
    <w:name w:val="Style 11 pt Black Justified Right:  001 cm Before:  865 pt L..."/>
    <w:basedOn w:val="Normal"/>
    <w:next w:val="Normal"/>
    <w:autoRedefine/>
    <w:qFormat/>
    <w:rsid w:val="005478e4"/>
    <w:pPr>
      <w:numPr>
        <w:ilvl w:val="0"/>
        <w:numId w:val="4"/>
      </w:numPr>
      <w:shd w:val="clear" w:color="auto" w:fill="FFFFFF"/>
      <w:tabs>
        <w:tab w:val="clear" w:pos="720"/>
        <w:tab w:val="right" w:pos="1701" w:leader="none"/>
      </w:tabs>
      <w:spacing w:lineRule="exact" w:line="212" w:before="60" w:after="120"/>
      <w:ind w:right="6"/>
    </w:pPr>
    <w:rPr>
      <w:color w:val="000000"/>
      <w:lang w:eastAsia="en-GB"/>
    </w:rPr>
  </w:style>
  <w:style w:type="paragraph" w:styleId="StyleHeading3" w:customStyle="1">
    <w:name w:val="Style Heading 3"/>
    <w:basedOn w:val="Heading3"/>
    <w:next w:val="Normal"/>
    <w:link w:val="StyleHeading3Char"/>
    <w:autoRedefine/>
    <w:qFormat/>
    <w:rsid w:val="005478e4"/>
    <w:pPr>
      <w:keepLines/>
      <w:numPr>
        <w:ilvl w:val="2"/>
        <w:numId w:val="1"/>
      </w:numPr>
      <w:tabs>
        <w:tab w:val="clear" w:pos="720"/>
        <w:tab w:val="left" w:pos="567" w:leader="none"/>
        <w:tab w:val="left" w:pos="1134" w:leader="none"/>
      </w:tabs>
    </w:pPr>
    <w:rPr>
      <w:b/>
      <w:bCs/>
      <w:szCs w:val="26"/>
      <w:lang w:val="en-US"/>
    </w:rPr>
  </w:style>
  <w:style w:type="paragraph" w:styleId="Normal2" w:customStyle="1">
    <w:name w:val="Normal2"/>
    <w:basedOn w:val="Normal"/>
    <w:next w:val="Normal"/>
    <w:link w:val="Normal2Char"/>
    <w:autoRedefine/>
    <w:qFormat/>
    <w:rsid w:val="005478e4"/>
    <w:pPr>
      <w:shd w:val="clear" w:color="auto" w:fill="FFFFFF"/>
      <w:spacing w:before="120" w:after="240"/>
      <w:ind w:right="6"/>
    </w:pPr>
    <w:rPr>
      <w:color w:val="000000"/>
      <w:szCs w:val="22"/>
      <w:lang w:val="en-US"/>
    </w:rPr>
  </w:style>
  <w:style w:type="paragraph" w:styleId="Normal3" w:customStyle="1">
    <w:name w:val="Normal3"/>
    <w:basedOn w:val="Normal2"/>
    <w:autoRedefine/>
    <w:qFormat/>
    <w:rsid w:val="005478e4"/>
    <w:pPr>
      <w:ind w:left="1134"/>
    </w:pPr>
    <w:rPr/>
  </w:style>
  <w:style w:type="paragraph" w:styleId="Style31" w:customStyle="1">
    <w:name w:val="Style3"/>
    <w:basedOn w:val="Normal2"/>
    <w:autoRedefine/>
    <w:qFormat/>
    <w:rsid w:val="005478e4"/>
    <w:pPr>
      <w:ind w:left="1134" w:right="0"/>
    </w:pPr>
    <w:rPr/>
  </w:style>
  <w:style w:type="paragraph" w:styleId="Normal3tiret" w:customStyle="1">
    <w:name w:val="Normal3tiret"/>
    <w:basedOn w:val="Normal3"/>
    <w:autoRedefine/>
    <w:qFormat/>
    <w:rsid w:val="005478e4"/>
    <w:pPr>
      <w:tabs>
        <w:tab w:val="clear" w:pos="720"/>
        <w:tab w:val="left" w:pos="1304" w:leader="none"/>
      </w:tabs>
      <w:ind w:hanging="170" w:left="1304" w:right="0"/>
    </w:pPr>
    <w:rPr/>
  </w:style>
  <w:style w:type="paragraph" w:styleId="Normal12" w:customStyle="1">
    <w:name w:val="Normal 12"/>
    <w:basedOn w:val="Normal"/>
    <w:qFormat/>
    <w:rsid w:val="00f9163a"/>
    <w:pPr/>
    <w:rPr>
      <w:lang w:eastAsia="en-GB"/>
    </w:rPr>
  </w:style>
  <w:style w:type="paragraph" w:styleId="Text2" w:customStyle="1">
    <w:name w:val="Text 2"/>
    <w:basedOn w:val="Normal"/>
    <w:qFormat/>
    <w:rsid w:val="00f9163a"/>
    <w:pPr>
      <w:tabs>
        <w:tab w:val="clear" w:pos="720"/>
        <w:tab w:val="left" w:pos="2160" w:leader="none"/>
      </w:tabs>
      <w:spacing w:before="0" w:after="240"/>
      <w:ind w:left="1077"/>
    </w:pPr>
    <w:rPr/>
  </w:style>
  <w:style w:type="paragraph" w:styleId="Heading3Verdana" w:customStyle="1">
    <w:name w:val="Heading 3 + Verdana"/>
    <w:basedOn w:val="Heading2"/>
    <w:qFormat/>
    <w:rsid w:val="00641155"/>
    <w:pPr>
      <w:numPr>
        <w:ilvl w:val="1"/>
        <w:numId w:val="1"/>
      </w:numPr>
      <w:spacing w:before="200" w:after="240"/>
      <w:ind w:left="284"/>
      <w:jc w:val="center"/>
    </w:pPr>
    <w:rPr>
      <w:rFonts w:ascii="Verdana" w:hAnsi="Verdana"/>
      <w:u w:val="single"/>
      <w:lang w:val="fr-BE"/>
    </w:rPr>
  </w:style>
  <w:style w:type="paragraph" w:styleId="Annexetitle" w:customStyle="1">
    <w:name w:val="Annexe_title"/>
    <w:basedOn w:val="Heading1"/>
    <w:next w:val="Normal"/>
    <w:autoRedefine/>
    <w:qFormat/>
    <w:rsid w:val="007f037f"/>
    <w:pPr>
      <w:keepNext w:val="false"/>
      <w:pageBreakBefore/>
      <w:tabs>
        <w:tab w:val="clear" w:pos="720"/>
        <w:tab w:val="left" w:pos="1701" w:leader="none"/>
        <w:tab w:val="left" w:pos="2552" w:leader="none"/>
      </w:tabs>
      <w:outlineLvl w:val="9"/>
    </w:pPr>
    <w:rPr>
      <w:caps w:val="false"/>
      <w:smallCaps w:val="false"/>
      <w:color w:val="auto"/>
      <w:lang w:eastAsia="en-GB"/>
    </w:rPr>
  </w:style>
  <w:style w:type="paragraph" w:styleId="titlefront" w:customStyle="1">
    <w:name w:val="title_front"/>
    <w:basedOn w:val="Normal"/>
    <w:qFormat/>
    <w:rsid w:val="00f85039"/>
    <w:pPr>
      <w:spacing w:before="240" w:after="120"/>
      <w:ind w:left="1701"/>
      <w:jc w:val="right"/>
    </w:pPr>
    <w:rPr>
      <w:rFonts w:ascii="Optima" w:hAnsi="Optima"/>
      <w:b/>
      <w:sz w:val="28"/>
      <w:lang w:eastAsia="en-GB"/>
    </w:rPr>
  </w:style>
  <w:style w:type="paragraph" w:styleId="BlockText">
    <w:name w:val="Block Text"/>
    <w:basedOn w:val="Normal"/>
    <w:qFormat/>
    <w:rsid w:val="00f85039"/>
    <w:pPr>
      <w:keepNext w:val="true"/>
      <w:ind w:left="113" w:right="113"/>
    </w:pPr>
    <w:rPr>
      <w:rFonts w:ascii="Arial" w:hAnsi="Arial" w:cs="Arial"/>
      <w:sz w:val="20"/>
      <w:lang w:eastAsia="en-GB"/>
    </w:rPr>
  </w:style>
  <w:style w:type="paragraph" w:styleId="Article" w:customStyle="1">
    <w:name w:val="Article"/>
    <w:basedOn w:val="Normal"/>
    <w:qFormat/>
    <w:rsid w:val="00290ae7"/>
    <w:pPr>
      <w:keepNext w:val="true"/>
      <w:numPr>
        <w:ilvl w:val="0"/>
        <w:numId w:val="13"/>
      </w:numPr>
      <w:tabs>
        <w:tab w:val="clear" w:pos="720"/>
        <w:tab w:val="left" w:pos="360" w:leader="none"/>
      </w:tabs>
      <w:spacing w:lineRule="auto" w:line="276" w:before="360" w:after="120"/>
      <w:ind w:hanging="1276" w:left="1560"/>
      <w:jc w:val="left"/>
    </w:pPr>
    <w:rPr>
      <w:rFonts w:eastAsia="Calibri"/>
      <w:b/>
      <w:bCs/>
      <w:i/>
      <w:iCs/>
      <w:sz w:val="24"/>
      <w:szCs w:val="24"/>
    </w:rPr>
  </w:style>
  <w:style w:type="paragraph" w:styleId="classification" w:customStyle="1">
    <w:name w:val="classification"/>
    <w:basedOn w:val="Normal"/>
    <w:qFormat/>
    <w:rsid w:val="00582940"/>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jc w:val="center"/>
    </w:pPr>
    <w:rPr>
      <w:rFonts w:ascii="Arial" w:hAnsi="Arial"/>
      <w:caps/>
      <w:lang w:eastAsia="en-GB"/>
    </w:rPr>
  </w:style>
  <w:style w:type="paragraph" w:styleId="CommentText">
    <w:name w:val="annotation text"/>
    <w:basedOn w:val="Normal"/>
    <w:link w:val="CommentTextChar"/>
    <w:rsid w:val="004842dd"/>
    <w:pPr/>
    <w:rPr>
      <w:sz w:val="20"/>
    </w:rPr>
  </w:style>
  <w:style w:type="paragraph" w:styleId="annotationsubject">
    <w:name w:val="annotation subject"/>
    <w:basedOn w:val="CommentText"/>
    <w:next w:val="CommentText"/>
    <w:semiHidden/>
    <w:qFormat/>
    <w:rsid w:val="004842dd"/>
    <w:pPr/>
    <w:rPr>
      <w:b/>
      <w:bCs/>
    </w:rPr>
  </w:style>
  <w:style w:type="paragraph" w:styleId="pointarticle" w:customStyle="1">
    <w:name w:val="point article"/>
    <w:basedOn w:val="Normal"/>
    <w:link w:val="pointarticleChar"/>
    <w:qFormat/>
    <w:rsid w:val="00290ae7"/>
    <w:pPr>
      <w:numPr>
        <w:ilvl w:val="1"/>
        <w:numId w:val="13"/>
      </w:numPr>
      <w:spacing w:lineRule="auto" w:line="276" w:before="240" w:after="60"/>
    </w:pPr>
    <w:rPr>
      <w:sz w:val="20"/>
    </w:rPr>
  </w:style>
  <w:style w:type="paragraph" w:styleId="Revision">
    <w:name w:val="Revision"/>
    <w:uiPriority w:val="99"/>
    <w:semiHidden/>
    <w:qFormat/>
    <w:rsid w:val="00bb0162"/>
    <w:pPr>
      <w:widowControl/>
      <w:suppressAutoHyphens w:val="true"/>
      <w:bidi w:val="0"/>
      <w:spacing w:before="0" w:after="0"/>
      <w:jc w:val="left"/>
    </w:pPr>
    <w:rPr>
      <w:rFonts w:ascii="Times New Roman" w:hAnsi="Times New Roman" w:eastAsia="Times New Roman" w:cs="Times New Roman"/>
      <w:color w:val="auto"/>
      <w:kern w:val="0"/>
      <w:sz w:val="22"/>
      <w:szCs w:val="20"/>
      <w:lang w:val="en-GB" w:eastAsia="en-US" w:bidi="ar-SA"/>
    </w:rPr>
  </w:style>
  <w:style w:type="paragraph" w:styleId="IndexHeading">
    <w:name w:val="index heading"/>
    <w:basedOn w:val="Heading"/>
    <w:pPr/>
    <w:rPr/>
  </w:style>
  <w:style w:type="paragraph" w:styleId="TOCHeading">
    <w:name w:val="TOC Heading"/>
    <w:basedOn w:val="Heading1"/>
    <w:next w:val="Normal"/>
    <w:uiPriority w:val="39"/>
    <w:unhideWhenUsed/>
    <w:qFormat/>
    <w:rsid w:val="00224a76"/>
    <w:pPr>
      <w:keepLines/>
      <w:spacing w:lineRule="auto" w:line="259" w:before="600" w:after="0"/>
      <w:outlineLvl w:val="9"/>
    </w:pPr>
    <w:rPr>
      <w:rFonts w:ascii="Calibri Light" w:hAnsi="Calibri Light"/>
      <w:b w:val="false"/>
      <w:caps w:val="false"/>
      <w:smallCaps w:val="false"/>
      <w:color w:val="2E74B5"/>
      <w:sz w:val="32"/>
      <w:szCs w:val="32"/>
      <w:lang w:val="en-US"/>
    </w:rPr>
  </w:style>
  <w:style w:type="paragraph" w:styleId="Char2" w:customStyle="1">
    <w:name w:val="Char2"/>
    <w:basedOn w:val="Normal"/>
    <w:qFormat/>
    <w:rsid w:val="000f3c1a"/>
    <w:pPr>
      <w:spacing w:lineRule="exact" w:line="240" w:before="0" w:after="160"/>
      <w:ind w:left="0"/>
      <w:jc w:val="left"/>
    </w:pPr>
    <w:rPr>
      <w:sz w:val="20"/>
      <w:vertAlign w:val="superscript"/>
      <w:lang w:eastAsia="en-GB"/>
    </w:rPr>
  </w:style>
  <w:style w:type="paragraph" w:styleId="Numbered" w:customStyle="1">
    <w:name w:val="Numbered"/>
    <w:basedOn w:val="Normal"/>
    <w:link w:val="NumberedChar"/>
    <w:qFormat/>
    <w:rsid w:val="00c15024"/>
    <w:pPr>
      <w:numPr>
        <w:ilvl w:val="0"/>
        <w:numId w:val="14"/>
      </w:numPr>
      <w:spacing w:before="0" w:after="0"/>
    </w:pPr>
    <w:rPr>
      <w:sz w:val="24"/>
      <w:szCs w:val="24"/>
      <w:lang w:eastAsia="en-GB"/>
    </w:rPr>
  </w:style>
  <w:style w:type="paragraph" w:styleId="FrameContentsuser">
    <w:name w:val="Frame Contents (user)"/>
    <w:basedOn w:val="Normal"/>
    <w:qFormat/>
    <w:pPr/>
    <w:rPr/>
  </w:style>
  <w:style w:type="numbering" w:styleId="NoList" w:default="1">
    <w:name w:val="No List"/>
    <w:uiPriority w:val="99"/>
    <w:semiHidden/>
    <w:unhideWhenUsed/>
    <w:qFormat/>
  </w:style>
  <w:style w:type="numbering" w:styleId="OutlineList2">
    <w:name w:val="Outline List 2"/>
    <w:qFormat/>
    <w:rsid w:val="005478e4"/>
  </w:style>
  <w:style w:type="numbering" w:styleId="Style11" w:customStyle="1">
    <w:name w:val="Style1"/>
    <w:qFormat/>
    <w:rsid w:val="005478e4"/>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64115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ikis.ec.europa.eu/display/ExactExternalWikiFR/ePRAG"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mailto:adrenalinskipark.@yahoo.com" TargetMode="External"/><Relationship Id="rId7" Type="http://schemas.openxmlformats.org/officeDocument/2006/relationships/hyperlink" Target="https://ec.europa.eu/info/funding-tenders/opportunities/portal/screen/how-to-participate/participant-register" TargetMode="External"/><Relationship Id="rId8" Type="http://schemas.openxmlformats.org/officeDocument/2006/relationships/hyperlink" Target="http://ec.europa.eu/budget/explained/management/protecting/protect_en.cfm" TargetMode="Externa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anctionsmap.eu/" TargetMode="Externa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29AEA-43A6-4215-9A5D-B53E4312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Application>LibreOffice/25.2.2.2$Windows_X86_64 LibreOffice_project/7370d4be9e3cf6031a51beef54ff3bda878e3fac</Application>
  <AppVersion>15.0000</AppVersion>
  <Pages>23</Pages>
  <Words>8590</Words>
  <Characters>46418</Characters>
  <CharactersWithSpaces>54482</CharactersWithSpaces>
  <Paragraphs>435</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2025-04-04T12:15:00Z</dcterms:created>
  <dc:creator>VISSER Maarten</dc:creator>
  <dc:description/>
  <dc:language>en-US</dc:language>
  <cp:lastModifiedBy/>
  <cp:lastPrinted>2018-11-08T15:51:00Z</cp:lastPrinted>
  <dcterms:modified xsi:type="dcterms:W3CDTF">2025-06-02T14:49:17Z</dcterms:modified>
  <cp:revision>24</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ActionId">
    <vt:lpwstr>c5077fed-7fb0-4d9c-a1f9-dc27db1f0e97</vt:lpwstr>
  </property>
  <property fmtid="{D5CDD505-2E9C-101B-9397-08002B2CF9AE}" pid="3" name="MSIP_Label_6bd9ddd1-4d20-43f6-abfa-fc3c07406f94_ContentBits">
    <vt:lpwstr>0</vt:lpwstr>
  </property>
  <property fmtid="{D5CDD505-2E9C-101B-9397-08002B2CF9AE}" pid="4" name="MSIP_Label_6bd9ddd1-4d20-43f6-abfa-fc3c07406f94_Enabled">
    <vt:lpwstr>true</vt:lpwstr>
  </property>
  <property fmtid="{D5CDD505-2E9C-101B-9397-08002B2CF9AE}" pid="5" name="MSIP_Label_6bd9ddd1-4d20-43f6-abfa-fc3c07406f94_Method">
    <vt:lpwstr>Privileged</vt:lpwstr>
  </property>
  <property fmtid="{D5CDD505-2E9C-101B-9397-08002B2CF9AE}" pid="6" name="MSIP_Label_6bd9ddd1-4d20-43f6-abfa-fc3c07406f94_Name">
    <vt:lpwstr>Commission Use</vt:lpwstr>
  </property>
  <property fmtid="{D5CDD505-2E9C-101B-9397-08002B2CF9AE}" pid="7" name="MSIP_Label_6bd9ddd1-4d20-43f6-abfa-fc3c07406f94_SetDate">
    <vt:lpwstr>2023-04-04T08:29:44Z</vt:lpwstr>
  </property>
  <property fmtid="{D5CDD505-2E9C-101B-9397-08002B2CF9AE}" pid="8" name="MSIP_Label_6bd9ddd1-4d20-43f6-abfa-fc3c07406f94_SiteId">
    <vt:lpwstr>b24c8b06-522c-46fe-9080-70926f8dddb1</vt:lpwstr>
  </property>
  <property fmtid="{D5CDD505-2E9C-101B-9397-08002B2CF9AE}" pid="9" name="_AdHocReviewCycleID">
    <vt:i4>-1477240103</vt:i4>
  </property>
  <property fmtid="{D5CDD505-2E9C-101B-9397-08002B2CF9AE}" pid="10" name="_ReviewingToolsShownOnce">
    <vt:lpwstr/>
  </property>
</Properties>
</file>