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28"/>
          <w:szCs w:val="28"/>
        </w:rPr>
      </w:pPr>
      <w:r>
        <w:rPr>
          <w:b/>
          <w:sz w:val="28"/>
          <w:szCs w:val="28"/>
        </w:rPr>
        <w:t>VOLUME 2</w:t>
      </w:r>
    </w:p>
    <w:p>
      <w:pPr>
        <w:pStyle w:val="Normal"/>
        <w:spacing w:before="360" w:after="480"/>
        <w:jc w:val="center"/>
        <w:rPr>
          <w:b/>
          <w:sz w:val="28"/>
          <w:szCs w:val="28"/>
        </w:rPr>
      </w:pPr>
      <w:bookmarkStart w:id="0" w:name="_Toc76894411"/>
      <w:bookmarkStart w:id="1" w:name="_Toc76894272"/>
      <w:bookmarkStart w:id="2" w:name="_Toc72056418"/>
      <w:bookmarkStart w:id="3" w:name="_Toc71357944"/>
      <w:bookmarkStart w:id="4" w:name="_Toc71357730"/>
      <w:r>
        <w:rPr>
          <w:b/>
          <w:sz w:val="28"/>
          <w:szCs w:val="28"/>
        </w:rPr>
        <w:t>SECTION 3SPECIAL CONDITIONS</w:t>
      </w:r>
      <w:bookmarkStart w:id="5" w:name="_Toc76894412"/>
      <w:bookmarkStart w:id="6" w:name="_Toc72056419"/>
      <w:bookmarkStart w:id="7" w:name="_Toc71357945"/>
      <w:bookmarkStart w:id="8" w:name="_Toc71357731"/>
      <w:bookmarkEnd w:id="0"/>
      <w:bookmarkEnd w:id="1"/>
      <w:bookmarkEnd w:id="2"/>
      <w:bookmarkEnd w:id="3"/>
      <w:bookmarkEnd w:id="4"/>
      <w:r>
        <w:rPr>
          <w:b/>
          <w:sz w:val="28"/>
          <w:szCs w:val="28"/>
        </w:rPr>
        <w:t xml:space="preserve"> FOR EUROPEAN UNION EXTERNAL ACTIONS</w:t>
      </w:r>
    </w:p>
    <w:p>
      <w:pPr>
        <w:pStyle w:val="Normal"/>
        <w:numPr>
          <w:ilvl w:val="0"/>
          <w:numId w:val="0"/>
        </w:numPr>
        <w:spacing w:before="240" w:after="120"/>
        <w:outlineLvl w:val="0"/>
        <w:rPr>
          <w:szCs w:val="24"/>
        </w:rPr>
      </w:pPr>
      <w:r>
        <w:rPr>
          <w:b/>
          <w:bCs/>
          <w:sz w:val="28"/>
          <w:szCs w:val="28"/>
        </w:rPr>
        <w:t>CONTENTS</w:t>
      </w:r>
      <w:bookmarkEnd w:id="5"/>
      <w:bookmarkEnd w:id="6"/>
      <w:bookmarkEnd w:id="7"/>
      <w:bookmarkEnd w:id="8"/>
    </w:p>
    <w:p>
      <w:pPr>
        <w:pStyle w:val="Normal"/>
        <w:numPr>
          <w:ilvl w:val="0"/>
          <w:numId w:val="0"/>
        </w:numPr>
        <w:spacing w:before="0" w:after="240"/>
        <w:ind w:right="239"/>
        <w:jc w:val="both"/>
        <w:outlineLvl w:val="0"/>
        <w:rPr>
          <w:sz w:val="22"/>
          <w:szCs w:val="22"/>
        </w:rPr>
      </w:pPr>
      <w:r>
        <w:rPr>
          <w:sz w:val="22"/>
          <w:szCs w:val="22"/>
        </w:rPr>
        <w:t xml:space="preserve">These conditions amplify and supplement the general conditions governing the contract. Unless the special conditions provide otherwise, the general conditions remain fully applicable. The numbering of the articles of the special conditions is not consecutive but follows the numbering of the general conditions. Exceptionally, and with the approval of the competent European Commission departments, other clauses can be indicated to cover particular situations. </w:t>
      </w:r>
    </w:p>
    <w:p>
      <w:pPr>
        <w:pStyle w:val="Normal"/>
        <w:numPr>
          <w:ilvl w:val="0"/>
          <w:numId w:val="0"/>
        </w:numPr>
        <w:spacing w:before="0" w:after="120"/>
        <w:ind w:hanging="1276" w:left="1276" w:right="239"/>
        <w:jc w:val="both"/>
        <w:outlineLvl w:val="0"/>
        <w:rPr>
          <w:b/>
          <w:szCs w:val="24"/>
        </w:rPr>
      </w:pPr>
      <w:r>
        <w:rPr>
          <w:b/>
          <w:szCs w:val="24"/>
        </w:rPr>
        <w:t>Contract value</w:t>
      </w:r>
    </w:p>
    <w:p>
      <w:pPr>
        <w:pStyle w:val="Normal"/>
        <w:numPr>
          <w:ilvl w:val="0"/>
          <w:numId w:val="0"/>
        </w:numPr>
        <w:spacing w:before="0" w:after="120"/>
        <w:ind w:right="239"/>
        <w:jc w:val="both"/>
        <w:outlineLvl w:val="0"/>
        <w:rPr>
          <w:sz w:val="22"/>
          <w:szCs w:val="22"/>
        </w:rPr>
      </w:pPr>
      <w:r>
        <w:rPr>
          <w:sz w:val="22"/>
          <w:szCs w:val="22"/>
        </w:rPr>
        <w:t>The contracting authority hereby agrees to pay to the contractor, in consideration of the execution and completion of the works and remedying of defects therein, the amount of the contract value mentioned in article 2 of the Main Conditions or such other sum as may become payable under the provisions of the Contract at the times and in the manner prescribed by the contract. VAT will be paid in compliance with the binding regulations, national law and international agreements concerning the execution of the project.</w:t>
      </w:r>
    </w:p>
    <w:p>
      <w:pPr>
        <w:pStyle w:val="Normal"/>
        <w:numPr>
          <w:ilvl w:val="0"/>
          <w:numId w:val="0"/>
        </w:numPr>
        <w:spacing w:before="0" w:after="120"/>
        <w:ind w:right="239"/>
        <w:jc w:val="both"/>
        <w:outlineLvl w:val="0"/>
        <w:rPr>
          <w:sz w:val="22"/>
          <w:szCs w:val="22"/>
        </w:rPr>
      </w:pPr>
      <w:r>
        <w:rPr>
          <w:sz w:val="22"/>
          <w:szCs w:val="22"/>
        </w:rPr>
        <w:t>The amount of the contract value mentioned in article 2 of the Main Conditions shall be composed of:</w:t>
      </w:r>
    </w:p>
    <w:p>
      <w:pPr>
        <w:pStyle w:val="Normal"/>
        <w:numPr>
          <w:ilvl w:val="0"/>
          <w:numId w:val="21"/>
        </w:numPr>
        <w:tabs>
          <w:tab w:val="clear" w:pos="720"/>
          <w:tab w:val="left" w:pos="851" w:leader="none"/>
          <w:tab w:val="right" w:pos="8505" w:leader="dot"/>
        </w:tabs>
        <w:spacing w:before="120" w:after="0"/>
        <w:ind w:hanging="360" w:left="927" w:right="97"/>
        <w:rPr>
          <w:sz w:val="22"/>
          <w:szCs w:val="22"/>
        </w:rPr>
      </w:pPr>
      <w:r>
        <w:rPr>
          <w:sz w:val="22"/>
          <w:szCs w:val="22"/>
        </w:rPr>
        <w:t>Contract price (excluding VAT/other taxes) EUR &lt;</w:t>
      </w:r>
      <w:r>
        <w:rPr>
          <w:sz w:val="22"/>
          <w:szCs w:val="22"/>
          <w:highlight w:val="lightGray"/>
        </w:rPr>
        <w:t>amount</w:t>
      </w:r>
      <w:r>
        <w:rPr>
          <w:sz w:val="22"/>
          <w:szCs w:val="22"/>
        </w:rPr>
        <w:t>&gt;</w:t>
      </w:r>
    </w:p>
    <w:p>
      <w:pPr>
        <w:pStyle w:val="Normal"/>
        <w:tabs>
          <w:tab w:val="clear" w:pos="720"/>
          <w:tab w:val="left" w:pos="851" w:leader="none"/>
          <w:tab w:val="right" w:pos="8505" w:leader="dot"/>
        </w:tabs>
        <w:spacing w:before="120" w:after="0"/>
        <w:ind w:hanging="284" w:left="851" w:right="-567"/>
        <w:rPr>
          <w:sz w:val="22"/>
          <w:szCs w:val="22"/>
          <w:u w:val="single"/>
        </w:rPr>
      </w:pPr>
      <w:r>
        <w:rPr>
          <w:sz w:val="22"/>
          <w:szCs w:val="22"/>
          <w:u w:val="single"/>
        </w:rPr>
        <w:t>-</w:t>
        <w:tab/>
        <w:t>VAT and other taxes EUR &lt;</w:t>
      </w:r>
      <w:r>
        <w:rPr>
          <w:sz w:val="22"/>
          <w:szCs w:val="22"/>
          <w:highlight w:val="lightGray"/>
          <w:u w:val="single"/>
        </w:rPr>
        <w:t>amount</w:t>
      </w:r>
      <w:r>
        <w:rPr>
          <w:sz w:val="22"/>
          <w:szCs w:val="22"/>
          <w:u w:val="single"/>
        </w:rPr>
        <w:t xml:space="preserve">&gt;  </w:t>
      </w:r>
    </w:p>
    <w:p>
      <w:pPr>
        <w:pStyle w:val="Normal"/>
        <w:numPr>
          <w:ilvl w:val="0"/>
          <w:numId w:val="21"/>
        </w:numPr>
        <w:tabs>
          <w:tab w:val="clear" w:pos="720"/>
          <w:tab w:val="left" w:pos="851" w:leader="none"/>
          <w:tab w:val="right" w:pos="8505" w:leader="dot"/>
        </w:tabs>
        <w:spacing w:before="120" w:after="0"/>
        <w:ind w:hanging="360" w:left="927" w:right="97"/>
        <w:rPr>
          <w:b/>
          <w:sz w:val="22"/>
          <w:szCs w:val="22"/>
        </w:rPr>
      </w:pPr>
      <w:r>
        <w:rPr>
          <w:b/>
          <w:sz w:val="22"/>
          <w:szCs w:val="22"/>
        </w:rPr>
        <w:t>Total price (including VAT/other taxes) EUR &lt;</w:t>
      </w:r>
      <w:r>
        <w:rPr>
          <w:b/>
          <w:sz w:val="22"/>
          <w:szCs w:val="22"/>
          <w:highlight w:val="lightGray"/>
        </w:rPr>
        <w:t>amount</w:t>
      </w:r>
      <w:r>
        <w:rPr>
          <w:b/>
          <w:sz w:val="22"/>
          <w:szCs w:val="22"/>
        </w:rPr>
        <w:t>&gt;</w:t>
      </w:r>
    </w:p>
    <w:p>
      <w:pPr>
        <w:pStyle w:val="Normal"/>
        <w:keepNext w:val="true"/>
        <w:numPr>
          <w:ilvl w:val="0"/>
          <w:numId w:val="0"/>
        </w:numPr>
        <w:spacing w:before="0" w:after="120"/>
        <w:ind w:hanging="1276" w:left="1276"/>
        <w:outlineLvl w:val="0"/>
        <w:rPr>
          <w:b/>
          <w:szCs w:val="24"/>
        </w:rPr>
      </w:pPr>
      <w:r>
        <w:rPr>
          <w:b/>
          <w:szCs w:val="24"/>
        </w:rPr>
      </w:r>
    </w:p>
    <w:p>
      <w:pPr>
        <w:pStyle w:val="Normal"/>
        <w:keepNext w:val="true"/>
        <w:numPr>
          <w:ilvl w:val="0"/>
          <w:numId w:val="0"/>
        </w:numPr>
        <w:spacing w:before="0" w:after="120"/>
        <w:ind w:hanging="1276" w:left="1276"/>
        <w:outlineLvl w:val="0"/>
        <w:rPr>
          <w:b/>
          <w:szCs w:val="24"/>
        </w:rPr>
      </w:pPr>
      <w:r>
        <w:rPr>
          <w:b/>
          <w:szCs w:val="24"/>
        </w:rPr>
        <w:t>Order of precedence of contract documents</w:t>
      </w:r>
    </w:p>
    <w:p>
      <w:pPr>
        <w:pStyle w:val="Normal"/>
        <w:spacing w:before="0" w:after="120"/>
        <w:ind w:hanging="567" w:left="567" w:right="239"/>
        <w:jc w:val="both"/>
        <w:rPr>
          <w:sz w:val="22"/>
          <w:szCs w:val="22"/>
        </w:rPr>
      </w:pPr>
      <w:r>
        <w:rPr>
          <w:sz w:val="22"/>
          <w:szCs w:val="22"/>
        </w:rPr>
        <w:t>The following documents shall be deemed to form and be read and construed as part of this contract, in the following order of precedence:</w:t>
      </w:r>
    </w:p>
    <w:p>
      <w:pPr>
        <w:pStyle w:val="Normal"/>
        <w:numPr>
          <w:ilvl w:val="0"/>
          <w:numId w:val="20"/>
        </w:numPr>
        <w:ind w:hanging="360" w:left="993" w:right="239"/>
        <w:jc w:val="both"/>
        <w:rPr>
          <w:sz w:val="22"/>
          <w:szCs w:val="22"/>
        </w:rPr>
      </w:pPr>
      <w:r>
        <w:rPr>
          <w:sz w:val="22"/>
          <w:szCs w:val="22"/>
        </w:rPr>
        <w:t>The main conditions</w:t>
      </w:r>
    </w:p>
    <w:p>
      <w:pPr>
        <w:pStyle w:val="Normal"/>
        <w:numPr>
          <w:ilvl w:val="0"/>
          <w:numId w:val="20"/>
        </w:numPr>
        <w:ind w:hanging="360" w:left="993" w:right="239"/>
        <w:jc w:val="both"/>
        <w:rPr>
          <w:sz w:val="22"/>
          <w:szCs w:val="22"/>
        </w:rPr>
      </w:pPr>
      <w:r>
        <w:rPr>
          <w:sz w:val="22"/>
          <w:szCs w:val="22"/>
        </w:rPr>
        <w:t>the special conditions,</w:t>
      </w:r>
    </w:p>
    <w:p>
      <w:pPr>
        <w:pStyle w:val="Normal"/>
        <w:numPr>
          <w:ilvl w:val="0"/>
          <w:numId w:val="20"/>
        </w:numPr>
        <w:ind w:hanging="360" w:left="993" w:right="239"/>
        <w:jc w:val="both"/>
        <w:rPr>
          <w:sz w:val="22"/>
          <w:szCs w:val="22"/>
        </w:rPr>
      </w:pPr>
      <w:r>
        <w:rPr>
          <w:sz w:val="22"/>
          <w:szCs w:val="22"/>
        </w:rPr>
        <w:t>the general conditions,</w:t>
      </w:r>
    </w:p>
    <w:p>
      <w:pPr>
        <w:pStyle w:val="Normal"/>
        <w:numPr>
          <w:ilvl w:val="0"/>
          <w:numId w:val="20"/>
        </w:numPr>
        <w:ind w:hanging="360" w:left="993" w:right="239"/>
        <w:jc w:val="both"/>
        <w:rPr>
          <w:sz w:val="22"/>
          <w:szCs w:val="22"/>
        </w:rPr>
      </w:pPr>
      <w:r>
        <w:rPr>
          <w:sz w:val="22"/>
          <w:szCs w:val="22"/>
        </w:rPr>
        <w:t>the PRAG Procedural rules on conciliation and arbitration.</w:t>
      </w:r>
    </w:p>
    <w:p>
      <w:pPr>
        <w:pStyle w:val="Normal"/>
        <w:numPr>
          <w:ilvl w:val="0"/>
          <w:numId w:val="20"/>
        </w:numPr>
        <w:ind w:hanging="360" w:left="993" w:right="239"/>
        <w:jc w:val="both"/>
        <w:rPr>
          <w:sz w:val="22"/>
          <w:szCs w:val="22"/>
        </w:rPr>
      </w:pPr>
      <w:r>
        <w:rPr>
          <w:sz w:val="22"/>
          <w:szCs w:val="22"/>
        </w:rPr>
        <w:t>the breakdown of lump-sum price.</w:t>
      </w:r>
    </w:p>
    <w:p>
      <w:pPr>
        <w:pStyle w:val="Normal"/>
        <w:numPr>
          <w:ilvl w:val="0"/>
          <w:numId w:val="20"/>
        </w:numPr>
        <w:ind w:hanging="360" w:left="993" w:right="239"/>
        <w:jc w:val="both"/>
        <w:rPr>
          <w:sz w:val="22"/>
          <w:szCs w:val="22"/>
        </w:rPr>
      </w:pPr>
      <w:r>
        <w:rPr>
          <w:sz w:val="22"/>
          <w:szCs w:val="22"/>
        </w:rPr>
        <w:t xml:space="preserve">the technical </w:t>
      </w:r>
      <w:r>
        <w:rPr/>
        <w:t xml:space="preserve">and/or performance </w:t>
      </w:r>
      <w:r>
        <w:rPr>
          <w:sz w:val="22"/>
          <w:szCs w:val="22"/>
        </w:rPr>
        <w:t>specifications,</w:t>
      </w:r>
    </w:p>
    <w:p>
      <w:pPr>
        <w:pStyle w:val="Normal"/>
        <w:numPr>
          <w:ilvl w:val="0"/>
          <w:numId w:val="20"/>
        </w:numPr>
        <w:ind w:hanging="360" w:left="993" w:right="239"/>
        <w:jc w:val="both"/>
        <w:rPr>
          <w:sz w:val="22"/>
          <w:szCs w:val="22"/>
        </w:rPr>
      </w:pPr>
      <w:r>
        <w:rPr>
          <w:sz w:val="22"/>
          <w:szCs w:val="22"/>
        </w:rPr>
        <w:t>the design documentation (drawings),</w:t>
      </w:r>
    </w:p>
    <w:p>
      <w:pPr>
        <w:pStyle w:val="Normal"/>
        <w:numPr>
          <w:ilvl w:val="0"/>
          <w:numId w:val="20"/>
        </w:numPr>
        <w:spacing w:before="0" w:after="240"/>
        <w:ind w:hanging="357" w:left="992" w:right="239"/>
        <w:jc w:val="both"/>
        <w:rPr>
          <w:sz w:val="22"/>
          <w:szCs w:val="22"/>
        </w:rPr>
      </w:pPr>
      <w:r>
        <w:rPr>
          <w:sz w:val="22"/>
          <w:szCs w:val="22"/>
        </w:rPr>
        <w:t>any other documents forming part of the contract.</w:t>
      </w:r>
    </w:p>
    <w:p>
      <w:pPr>
        <w:pStyle w:val="Normal"/>
        <w:spacing w:before="0" w:after="240"/>
        <w:ind w:right="238"/>
        <w:jc w:val="both"/>
        <w:rPr>
          <w:sz w:val="22"/>
          <w:szCs w:val="22"/>
        </w:rPr>
      </w:pPr>
      <w:r>
        <w:rPr>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p>
    <w:p>
      <w:pPr>
        <w:pStyle w:val="Normal"/>
        <w:spacing w:before="0" w:after="240"/>
        <w:ind w:right="238"/>
        <w:jc w:val="both"/>
        <w:rPr>
          <w:sz w:val="22"/>
          <w:szCs w:val="22"/>
        </w:rPr>
      </w:pPr>
      <w:r>
        <w:rPr>
          <w:sz w:val="22"/>
          <w:szCs w:val="22"/>
        </w:rPr>
      </w:r>
    </w:p>
    <w:p>
      <w:pPr>
        <w:pStyle w:val="Normal"/>
        <w:spacing w:before="0" w:after="240"/>
        <w:ind w:right="238"/>
        <w:jc w:val="both"/>
        <w:rPr>
          <w:sz w:val="22"/>
          <w:szCs w:val="22"/>
        </w:rPr>
      </w:pPr>
      <w:r>
        <w:rPr>
          <w:sz w:val="22"/>
          <w:szCs w:val="22"/>
        </w:rPr>
      </w:r>
    </w:p>
    <w:p>
      <w:pPr>
        <w:pStyle w:val="Normal"/>
        <w:spacing w:before="0" w:after="240"/>
        <w:ind w:right="238"/>
        <w:jc w:val="both"/>
        <w:rPr>
          <w:sz w:val="22"/>
          <w:szCs w:val="22"/>
        </w:rPr>
      </w:pPr>
      <w:r>
        <w:rPr>
          <w:sz w:val="22"/>
          <w:szCs w:val="22"/>
        </w:rPr>
      </w:r>
    </w:p>
    <w:p>
      <w:pPr>
        <w:pStyle w:val="Normal"/>
        <w:spacing w:before="0" w:after="240"/>
        <w:ind w:right="238"/>
        <w:jc w:val="both"/>
        <w:rPr>
          <w:sz w:val="22"/>
          <w:szCs w:val="22"/>
        </w:rPr>
      </w:pPr>
      <w:r>
        <w:rPr>
          <w:sz w:val="22"/>
          <w:szCs w:val="22"/>
        </w:rPr>
      </w:r>
    </w:p>
    <w:p>
      <w:pPr>
        <w:pStyle w:val="Normal"/>
        <w:spacing w:before="0" w:after="240"/>
        <w:ind w:right="238"/>
        <w:jc w:val="both"/>
        <w:rPr>
          <w:sz w:val="22"/>
          <w:szCs w:val="22"/>
        </w:rPr>
      </w:pPr>
      <w:r>
        <w:rPr>
          <w:sz w:val="22"/>
          <w:szCs w:val="22"/>
        </w:rPr>
      </w:r>
    </w:p>
    <w:tbl>
      <w:tblPr>
        <w:tblW w:w="8819" w:type="dxa"/>
        <w:jc w:val="left"/>
        <w:tblInd w:w="708" w:type="dxa"/>
        <w:tblLayout w:type="fixed"/>
        <w:tblCellMar>
          <w:top w:w="0" w:type="dxa"/>
          <w:left w:w="108" w:type="dxa"/>
          <w:bottom w:w="0" w:type="dxa"/>
          <w:right w:w="108" w:type="dxa"/>
        </w:tblCellMar>
        <w:tblLook w:firstRow="1" w:noVBand="1" w:lastRow="0" w:firstColumn="1" w:lastColumn="0" w:noHBand="0" w:val="04a0"/>
      </w:tblPr>
      <w:tblGrid>
        <w:gridCol w:w="359"/>
        <w:gridCol w:w="1440"/>
        <w:gridCol w:w="5973"/>
        <w:gridCol w:w="1046"/>
      </w:tblGrid>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741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r>
          </w:p>
          <w:p>
            <w:pPr>
              <w:pStyle w:val="Normal"/>
              <w:jc w:val="center"/>
              <w:rPr>
                <w:rFonts w:eastAsia="Calibri"/>
                <w:sz w:val="22"/>
                <w:szCs w:val="22"/>
              </w:rPr>
            </w:pPr>
            <w:r>
              <w:rPr>
                <w:rFonts w:eastAsia="Calibri"/>
                <w:sz w:val="22"/>
                <w:szCs w:val="22"/>
              </w:rPr>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p>
            <w:pPr>
              <w:pStyle w:val="Normal"/>
              <w:jc w:val="both"/>
              <w:rPr>
                <w:rFonts w:eastAsia="Calibri"/>
                <w:sz w:val="22"/>
                <w:szCs w:val="22"/>
              </w:rPr>
            </w:pPr>
            <w:r>
              <w:rPr>
                <w:rFonts w:eastAsia="Calibri"/>
                <w:sz w:val="22"/>
                <w:szCs w:val="22"/>
              </w:rPr>
              <w:t>Contract-article:</w:t>
            </w:r>
          </w:p>
          <w:p>
            <w:pPr>
              <w:pStyle w:val="Normal"/>
              <w:jc w:val="both"/>
              <w:rPr>
                <w:rFonts w:eastAsia="Calibri"/>
                <w:sz w:val="22"/>
                <w:szCs w:val="22"/>
              </w:rPr>
            </w:pPr>
            <w:r>
              <w:rPr>
                <w:rFonts w:eastAsia="Calibri"/>
                <w:sz w:val="22"/>
                <w:szCs w:val="22"/>
              </w:rPr>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1</w:t>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Price</w:t>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Lump sum contract</w:t>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t>49</w:t>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Prices cannot be revised</w:t>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t>48</w:t>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2</w:t>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Duration</w:t>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3 months implementation of works</w:t>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t>34</w:t>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Provisional acceptance, after completion of works</w:t>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t>60</w:t>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Defects liability period of 365 days, after provisional acceptance</w:t>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t>61</w:t>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 xml:space="preserve"> </w:t>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Final acceptance, after expiry of defects liability period</w:t>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t>62</w:t>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3</w:t>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Delay</w:t>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0.1% of the contract price for every day of delay</w:t>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t>36</w:t>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4</w:t>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Supervisor</w:t>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Supervisor will be appointed by the contracting authority with separate service contract</w:t>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t>5</w:t>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5</w:t>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 xml:space="preserve">Bank guarantees </w:t>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Performance shall be 5% of the total amount of the contract. If pre-financing is requested, pre-financing guaranty shall be provided by the contractor</w:t>
            </w:r>
          </w:p>
          <w:p>
            <w:pPr>
              <w:pStyle w:val="Normal"/>
              <w:jc w:val="both"/>
              <w:rPr>
                <w:rFonts w:eastAsia="Calibri"/>
                <w:sz w:val="22"/>
                <w:szCs w:val="22"/>
              </w:rPr>
            </w:pPr>
            <w:r>
              <w:rPr>
                <w:rFonts w:eastAsia="Calibri"/>
                <w:sz w:val="22"/>
                <w:szCs w:val="22"/>
              </w:rPr>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t>15, 46, 47</w:t>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6</w:t>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Insurances</w:t>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For damage to 3</w:t>
            </w:r>
            <w:r>
              <w:rPr>
                <w:rFonts w:eastAsia="Calibri"/>
                <w:sz w:val="22"/>
                <w:szCs w:val="22"/>
                <w:vertAlign w:val="superscript"/>
              </w:rPr>
              <w:t>rd</w:t>
            </w:r>
            <w:r>
              <w:rPr>
                <w:rFonts w:eastAsia="Calibri"/>
                <w:sz w:val="22"/>
                <w:szCs w:val="22"/>
              </w:rPr>
              <w:t xml:space="preserve"> parties, unlimited for bodily injury</w:t>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t>16</w:t>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Contractor all risk insurance</w:t>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t>16</w:t>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 xml:space="preserve">Insurance against accidents at work </w:t>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t>16</w:t>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 xml:space="preserve">Insurance for soundness of works  </w:t>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t>16</w:t>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7</w:t>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Payments</w:t>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lump sum advance for 10% of the original contract price, after conclusion of the contract</w:t>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t>46</w:t>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Interim payment No. 2 for 4</w:t>
            </w:r>
            <w:bookmarkStart w:id="9" w:name="_GoBack"/>
            <w:bookmarkEnd w:id="9"/>
            <w:r>
              <w:rPr>
                <w:rFonts w:eastAsia="Calibri"/>
                <w:sz w:val="22"/>
                <w:szCs w:val="22"/>
              </w:rPr>
              <w:t xml:space="preserve">0% of the contract price, after completion of 50% of the works </w:t>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t>49, 50</w:t>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Interim payment No. 3 for 40% of the contract price, after completion of 90% of the works</w:t>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t>49, 50</w:t>
            </w:r>
          </w:p>
        </w:tc>
      </w:tr>
      <w:tr>
        <w:trPr/>
        <w:tc>
          <w:tcPr>
            <w:tcW w:w="35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r>
          </w:p>
        </w:tc>
        <w:tc>
          <w:tcPr>
            <w:tcW w:w="597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Calibri"/>
                <w:sz w:val="22"/>
                <w:szCs w:val="22"/>
              </w:rPr>
            </w:pPr>
            <w:r>
              <w:rPr>
                <w:rFonts w:eastAsia="Calibri"/>
                <w:sz w:val="22"/>
                <w:szCs w:val="22"/>
              </w:rPr>
              <w:t xml:space="preserve">Final Payment for 10% of the contract price, after issued of Provisional acceptance certificate </w:t>
            </w:r>
          </w:p>
        </w:tc>
        <w:tc>
          <w:tcPr>
            <w:tcW w:w="104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Calibri"/>
                <w:sz w:val="22"/>
                <w:szCs w:val="22"/>
              </w:rPr>
            </w:pPr>
            <w:r>
              <w:rPr>
                <w:rFonts w:eastAsia="Calibri"/>
                <w:sz w:val="22"/>
                <w:szCs w:val="22"/>
              </w:rPr>
            </w:r>
          </w:p>
        </w:tc>
      </w:tr>
    </w:tbl>
    <w:p>
      <w:pPr>
        <w:pStyle w:val="Normal"/>
        <w:spacing w:before="0" w:after="240"/>
        <w:ind w:right="238"/>
        <w:jc w:val="both"/>
        <w:rPr>
          <w:sz w:val="22"/>
          <w:szCs w:val="22"/>
        </w:rPr>
      </w:pPr>
      <w:r>
        <w:rPr>
          <w:sz w:val="22"/>
          <w:szCs w:val="22"/>
        </w:rPr>
      </w:r>
    </w:p>
    <w:p>
      <w:pPr>
        <w:pStyle w:val="Normal"/>
        <w:ind w:hanging="1134" w:left="1134"/>
        <w:jc w:val="both"/>
        <w:rPr>
          <w:b/>
          <w:szCs w:val="24"/>
        </w:rPr>
      </w:pPr>
      <w:bookmarkStart w:id="10" w:name="_Toc76894414"/>
      <w:r>
        <w:rPr>
          <w:b/>
          <w:szCs w:val="24"/>
        </w:rPr>
        <w:t>Article 2</w:t>
        <w:tab/>
        <w:t>Language of the contract</w:t>
      </w:r>
      <w:bookmarkEnd w:id="10"/>
    </w:p>
    <w:p>
      <w:pPr>
        <w:pStyle w:val="Normal"/>
        <w:spacing w:before="120" w:after="120"/>
        <w:ind w:hanging="567" w:left="1134"/>
        <w:rPr>
          <w:sz w:val="22"/>
          <w:szCs w:val="22"/>
        </w:rPr>
      </w:pPr>
      <w:r>
        <w:rPr>
          <w:bCs/>
          <w:sz w:val="22"/>
          <w:szCs w:val="22"/>
        </w:rPr>
        <w:t>2.1</w:t>
      </w:r>
      <w:r>
        <w:rPr>
          <w:sz w:val="22"/>
          <w:szCs w:val="22"/>
        </w:rPr>
        <w:tab/>
        <w:t>The language used shall be English.</w:t>
      </w:r>
      <w:r>
        <w:rPr>
          <w:sz w:val="22"/>
          <w:szCs w:val="22"/>
          <w:shd w:fill="C0C0C0" w:val="clear"/>
        </w:rPr>
        <w:t xml:space="preserve"> </w:t>
      </w:r>
    </w:p>
    <w:p>
      <w:pPr>
        <w:pStyle w:val="Normal"/>
        <w:spacing w:before="240" w:after="120"/>
        <w:ind w:hanging="1134" w:left="1134"/>
        <w:jc w:val="both"/>
        <w:rPr>
          <w:b/>
          <w:szCs w:val="24"/>
        </w:rPr>
      </w:pPr>
      <w:bookmarkStart w:id="11" w:name="_Toc76894416"/>
      <w:r>
        <w:rPr>
          <w:b/>
          <w:szCs w:val="24"/>
        </w:rPr>
        <w:t>Article 4</w:t>
        <w:tab/>
        <w:t>Communication</w:t>
      </w:r>
      <w:bookmarkEnd w:id="11"/>
    </w:p>
    <w:p>
      <w:pPr>
        <w:pStyle w:val="Normal"/>
        <w:ind w:hanging="567" w:left="1134"/>
        <w:rPr>
          <w:sz w:val="22"/>
          <w:szCs w:val="22"/>
        </w:rPr>
      </w:pPr>
      <w:r>
        <w:rPr>
          <w:sz w:val="22"/>
          <w:szCs w:val="22"/>
        </w:rPr>
        <w:t>4.1</w:t>
        <w:tab/>
        <w:t>Communication details</w:t>
      </w:r>
    </w:p>
    <w:p>
      <w:pPr>
        <w:pStyle w:val="Normal"/>
        <w:ind w:hanging="567" w:left="1134"/>
        <w:rPr>
          <w:sz w:val="22"/>
          <w:szCs w:val="22"/>
        </w:rPr>
      </w:pPr>
      <w:r>
        <w:rPr>
          <w:sz w:val="22"/>
          <w:szCs w:val="22"/>
        </w:rPr>
      </w:r>
    </w:p>
    <w:p>
      <w:pPr>
        <w:pStyle w:val="Normal"/>
        <w:ind w:hanging="567" w:left="1134"/>
        <w:rPr>
          <w:sz w:val="22"/>
          <w:szCs w:val="22"/>
        </w:rPr>
      </w:pPr>
      <w:r>
        <w:rPr>
          <w:sz w:val="22"/>
          <w:szCs w:val="22"/>
        </w:rPr>
      </w:r>
    </w:p>
    <w:p>
      <w:pPr>
        <w:pStyle w:val="Normal"/>
        <w:widowControl w:val="false"/>
        <w:spacing w:before="0" w:after="120"/>
        <w:ind w:hanging="1134" w:left="1134" w:right="239"/>
        <w:jc w:val="both"/>
        <w:rPr>
          <w:iCs/>
          <w:sz w:val="22"/>
          <w:szCs w:val="22"/>
        </w:rPr>
      </w:pPr>
      <w:r>
        <w:rPr>
          <w:sz w:val="22"/>
          <w:szCs w:val="22"/>
        </w:rPr>
        <w:t xml:space="preserve">4.5 &amp; 4.6 </w:t>
        <w:tab/>
      </w:r>
      <w:r>
        <w:rPr>
          <w:iCs/>
          <w:sz w:val="22"/>
          <w:szCs w:val="22"/>
        </w:rPr>
        <w:t>Mail or email communication </w:t>
      </w:r>
    </w:p>
    <w:p>
      <w:pPr>
        <w:pStyle w:val="Normal"/>
        <w:keepNext w:val="true"/>
        <w:keepLines/>
        <w:ind w:left="1134"/>
        <w:jc w:val="both"/>
        <w:rPr>
          <w:sz w:val="22"/>
          <w:szCs w:val="22"/>
          <w:lang w:eastAsia="en-GB"/>
        </w:rPr>
      </w:pPr>
      <w:r>
        <w:rPr>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pPr>
        <w:pStyle w:val="Normal"/>
        <w:spacing w:beforeAutospacing="1" w:afterAutospacing="1"/>
        <w:ind w:left="1134"/>
        <w:textAlignment w:val="baseline"/>
        <w:rPr>
          <w:szCs w:val="24"/>
          <w:lang w:eastAsia="fr-BE"/>
        </w:rPr>
      </w:pPr>
      <w:r>
        <w:rPr>
          <w:sz w:val="22"/>
          <w:szCs w:val="22"/>
          <w:lang w:eastAsia="fr-BE"/>
        </w:rPr>
        <w:t xml:space="preserve">For the purpose of this </w:t>
      </w:r>
      <w:r>
        <w:rPr>
          <w:color w:val="000000"/>
          <w:sz w:val="22"/>
          <w:szCs w:val="22"/>
          <w:lang w:eastAsia="fr-BE"/>
        </w:rPr>
        <w:t>contract</w:t>
      </w:r>
      <w:r>
        <w:rPr>
          <w:sz w:val="22"/>
          <w:szCs w:val="22"/>
          <w:lang w:eastAsia="fr-BE"/>
        </w:rPr>
        <w:t>, mail or email communications must be sent to the following addresses: </w:t>
      </w:r>
    </w:p>
    <w:p>
      <w:pPr>
        <w:pStyle w:val="paragraph"/>
        <w:spacing w:beforeAutospacing="0" w:before="0" w:afterAutospacing="0" w:after="0"/>
        <w:ind w:left="1194"/>
        <w:textAlignment w:val="baseline"/>
        <w:rPr>
          <w:sz w:val="22"/>
          <w:szCs w:val="22"/>
        </w:rPr>
      </w:pPr>
      <w:r>
        <w:rPr>
          <w:sz w:val="22"/>
          <w:szCs w:val="22"/>
        </w:rPr>
        <w:t>Contracting authority: </w:t>
      </w:r>
      <w:r>
        <w:rPr>
          <w:sz w:val="22"/>
          <w:szCs w:val="22"/>
          <w:lang w:val="en-IE"/>
        </w:rPr>
        <w:t>M</w:t>
      </w:r>
      <w:r>
        <w:rPr>
          <w:sz w:val="22"/>
          <w:szCs w:val="22"/>
          <w:lang w:val="en-US"/>
        </w:rPr>
        <w:t>unicipality Kriva Palanka</w:t>
      </w:r>
    </w:p>
    <w:p>
      <w:pPr>
        <w:pStyle w:val="paragraph"/>
        <w:spacing w:beforeAutospacing="0" w:before="0" w:afterAutospacing="0" w:after="0"/>
        <w:ind w:left="1194"/>
        <w:textAlignment w:val="baseline"/>
        <w:rPr>
          <w:sz w:val="22"/>
          <w:szCs w:val="22"/>
          <w:lang w:val="en-US"/>
        </w:rPr>
      </w:pPr>
      <w:r>
        <w:rPr>
          <w:sz w:val="22"/>
          <w:szCs w:val="22"/>
          <w:lang w:val="en-US"/>
        </w:rPr>
        <w:t xml:space="preserve">Marija Radeska Gjukikj - Project </w:t>
      </w:r>
      <w:r>
        <w:rPr>
          <w:sz w:val="22"/>
          <w:szCs w:val="22"/>
          <w:lang w:val="en-US"/>
        </w:rPr>
        <w:t>assistant</w:t>
      </w:r>
    </w:p>
    <w:p>
      <w:pPr>
        <w:pStyle w:val="paragraph"/>
        <w:spacing w:beforeAutospacing="0" w:before="0" w:afterAutospacing="0" w:after="0"/>
        <w:ind w:left="1194"/>
        <w:textAlignment w:val="baseline"/>
        <w:rPr>
          <w:lang w:val="en-US"/>
        </w:rPr>
      </w:pPr>
      <w:r>
        <w:rPr>
          <w:sz w:val="22"/>
          <w:szCs w:val="22"/>
          <w:lang w:val="en-US"/>
        </w:rPr>
        <w:t>St Joachim Osogovski street 175, 1330 Kriva Palanka</w:t>
      </w:r>
    </w:p>
    <w:p>
      <w:pPr>
        <w:pStyle w:val="paragraph"/>
        <w:spacing w:beforeAutospacing="0" w:before="0" w:afterAutospacing="0" w:after="0"/>
        <w:ind w:left="1196"/>
        <w:textAlignment w:val="baseline"/>
        <w:rPr/>
      </w:pPr>
      <w:r>
        <w:rPr>
          <w:sz w:val="22"/>
          <w:szCs w:val="22"/>
          <w:lang w:val="en-IE"/>
        </w:rPr>
        <w:t xml:space="preserve">Email: </w:t>
      </w:r>
      <w:hyperlink r:id="rId2">
        <w:r>
          <w:rPr>
            <w:rStyle w:val="Hyperlink"/>
            <w:sz w:val="22"/>
            <w:szCs w:val="22"/>
            <w:lang w:val="en-US"/>
          </w:rPr>
          <w:t>adrenalinskipark@yahoo.com</w:t>
        </w:r>
      </w:hyperlink>
      <w:r>
        <w:rPr>
          <w:sz w:val="22"/>
          <w:szCs w:val="22"/>
          <w:lang w:val="en-US"/>
        </w:rPr>
        <w:t xml:space="preserve"> </w:t>
      </w:r>
    </w:p>
    <w:p>
      <w:pPr>
        <w:pStyle w:val="Normal"/>
        <w:spacing w:beforeAutospacing="1" w:afterAutospacing="1"/>
        <w:ind w:left="1194"/>
        <w:textAlignment w:val="baseline"/>
        <w:rPr>
          <w:sz w:val="22"/>
          <w:szCs w:val="22"/>
          <w:lang w:eastAsia="fr-BE"/>
        </w:rPr>
      </w:pPr>
      <w:r>
        <w:rPr>
          <w:sz w:val="22"/>
          <w:szCs w:val="22"/>
          <w:lang w:eastAsia="fr-BE"/>
        </w:rPr>
        <w:t>Contractor (or leader in the case of a joint tender): </w:t>
      </w:r>
    </w:p>
    <w:p>
      <w:pPr>
        <w:pStyle w:val="Normal"/>
        <w:spacing w:before="100" w:after="100"/>
        <w:ind w:left="1194"/>
        <w:textAlignment w:val="baseline"/>
        <w:rPr>
          <w:sz w:val="22"/>
          <w:szCs w:val="22"/>
          <w:lang w:eastAsia="fr-BE"/>
        </w:rPr>
      </w:pPr>
      <w:r>
        <w:rPr>
          <w:sz w:val="22"/>
          <w:szCs w:val="22"/>
          <w:lang w:eastAsia="fr-BE"/>
        </w:rPr>
        <w:t>[</w:t>
      </w:r>
      <w:r>
        <w:rPr>
          <w:i/>
          <w:iCs/>
          <w:sz w:val="22"/>
          <w:szCs w:val="22"/>
          <w:shd w:fill="C0C0C0" w:val="clear"/>
          <w:lang w:eastAsia="fr-BE"/>
        </w:rPr>
        <w:t>Full name</w:t>
      </w:r>
      <w:r>
        <w:rPr>
          <w:sz w:val="22"/>
          <w:szCs w:val="22"/>
          <w:lang w:eastAsia="fr-BE"/>
        </w:rPr>
        <w:t>] </w:t>
      </w:r>
    </w:p>
    <w:p>
      <w:pPr>
        <w:pStyle w:val="Normal"/>
        <w:spacing w:before="100" w:after="100"/>
        <w:ind w:left="1194"/>
        <w:textAlignment w:val="baseline"/>
        <w:rPr>
          <w:sz w:val="22"/>
          <w:szCs w:val="22"/>
          <w:lang w:eastAsia="fr-BE"/>
        </w:rPr>
      </w:pPr>
      <w:r>
        <w:rPr>
          <w:sz w:val="22"/>
          <w:szCs w:val="22"/>
          <w:lang w:eastAsia="fr-BE"/>
        </w:rPr>
        <w:t>[</w:t>
      </w:r>
      <w:r>
        <w:rPr>
          <w:i/>
          <w:iCs/>
          <w:sz w:val="22"/>
          <w:szCs w:val="22"/>
          <w:shd w:fill="C0C0C0" w:val="clear"/>
          <w:lang w:eastAsia="fr-BE"/>
        </w:rPr>
        <w:t>Function</w:t>
      </w:r>
      <w:r>
        <w:rPr>
          <w:sz w:val="22"/>
          <w:szCs w:val="22"/>
          <w:lang w:eastAsia="fr-BE"/>
        </w:rPr>
        <w:t>] </w:t>
      </w:r>
    </w:p>
    <w:p>
      <w:pPr>
        <w:pStyle w:val="Normal"/>
        <w:spacing w:before="100" w:after="100"/>
        <w:ind w:left="1194"/>
        <w:textAlignment w:val="baseline"/>
        <w:rPr>
          <w:sz w:val="22"/>
          <w:szCs w:val="22"/>
          <w:lang w:eastAsia="fr-BE"/>
        </w:rPr>
      </w:pPr>
      <w:r>
        <w:rPr>
          <w:sz w:val="22"/>
          <w:szCs w:val="22"/>
          <w:lang w:eastAsia="fr-BE"/>
        </w:rPr>
        <w:t>[</w:t>
      </w:r>
      <w:r>
        <w:rPr>
          <w:i/>
          <w:iCs/>
          <w:sz w:val="22"/>
          <w:szCs w:val="22"/>
          <w:shd w:fill="C0C0C0" w:val="clear"/>
          <w:lang w:eastAsia="fr-BE"/>
        </w:rPr>
        <w:t>Company name</w:t>
      </w:r>
      <w:r>
        <w:rPr>
          <w:sz w:val="22"/>
          <w:szCs w:val="22"/>
          <w:lang w:eastAsia="fr-BE"/>
        </w:rPr>
        <w:t>] </w:t>
      </w:r>
    </w:p>
    <w:p>
      <w:pPr>
        <w:pStyle w:val="Normal"/>
        <w:spacing w:before="100" w:after="100"/>
        <w:ind w:left="1194"/>
        <w:textAlignment w:val="baseline"/>
        <w:rPr>
          <w:sz w:val="22"/>
          <w:szCs w:val="22"/>
          <w:lang w:eastAsia="fr-BE"/>
        </w:rPr>
      </w:pPr>
      <w:r>
        <w:rPr>
          <w:sz w:val="22"/>
          <w:szCs w:val="22"/>
          <w:lang w:eastAsia="fr-BE"/>
        </w:rPr>
        <w:t>[</w:t>
      </w:r>
      <w:r>
        <w:rPr>
          <w:i/>
          <w:iCs/>
          <w:sz w:val="22"/>
          <w:szCs w:val="22"/>
          <w:shd w:fill="C0C0C0" w:val="clear"/>
          <w:lang w:eastAsia="fr-BE"/>
        </w:rPr>
        <w:t>Full official address</w:t>
      </w:r>
      <w:r>
        <w:rPr>
          <w:sz w:val="22"/>
          <w:szCs w:val="22"/>
          <w:lang w:eastAsia="fr-BE"/>
        </w:rPr>
        <w:t>] </w:t>
      </w:r>
    </w:p>
    <w:p>
      <w:pPr>
        <w:pStyle w:val="Normal"/>
        <w:spacing w:before="100" w:after="100"/>
        <w:ind w:left="1194"/>
        <w:textAlignment w:val="baseline"/>
        <w:rPr>
          <w:sz w:val="22"/>
          <w:szCs w:val="22"/>
          <w:lang w:eastAsia="fr-BE"/>
        </w:rPr>
      </w:pPr>
      <w:r>
        <w:rPr>
          <w:sz w:val="22"/>
          <w:szCs w:val="22"/>
          <w:lang w:eastAsia="fr-BE"/>
        </w:rPr>
        <w:t>Email: [</w:t>
      </w:r>
      <w:r>
        <w:rPr>
          <w:i/>
          <w:iCs/>
          <w:sz w:val="22"/>
          <w:szCs w:val="22"/>
          <w:shd w:fill="C0C0C0" w:val="clear"/>
          <w:lang w:eastAsia="fr-BE"/>
        </w:rPr>
        <w:t>complete</w:t>
      </w:r>
      <w:r>
        <w:rPr>
          <w:sz w:val="22"/>
          <w:szCs w:val="22"/>
          <w:lang w:eastAsia="fr-BE"/>
        </w:rPr>
        <w:t>] </w:t>
      </w:r>
    </w:p>
    <w:p>
      <w:pPr>
        <w:pStyle w:val="Normal"/>
        <w:spacing w:before="240" w:after="120"/>
        <w:ind w:hanging="1134" w:left="1134"/>
        <w:jc w:val="both"/>
        <w:rPr>
          <w:b/>
          <w:szCs w:val="24"/>
        </w:rPr>
      </w:pPr>
      <w:bookmarkStart w:id="12" w:name="_Toc76894417"/>
      <w:r>
        <w:rPr>
          <w:b/>
          <w:szCs w:val="24"/>
        </w:rPr>
        <w:t>Article 5</w:t>
        <w:tab/>
        <w:t>Supervisor and supervisor’s representative</w:t>
      </w:r>
      <w:bookmarkEnd w:id="12"/>
    </w:p>
    <w:p>
      <w:pPr>
        <w:pStyle w:val="Normal"/>
        <w:spacing w:before="120" w:after="120"/>
        <w:ind w:hanging="567" w:left="1134"/>
        <w:jc w:val="both"/>
        <w:rPr>
          <w:sz w:val="22"/>
          <w:szCs w:val="22"/>
        </w:rPr>
      </w:pPr>
      <w:r>
        <w:rPr>
          <w:bCs/>
          <w:sz w:val="22"/>
          <w:szCs w:val="22"/>
        </w:rPr>
        <w:t>5.2</w:t>
      </w:r>
      <w:r>
        <w:rPr>
          <w:sz w:val="22"/>
          <w:szCs w:val="22"/>
        </w:rPr>
        <w:tab/>
        <w:t>The Supervisor shall carry out the duties specified in another contract. Except as expressly stated in the contract, the Supervisor shall not have authority to relieve the Contractor of any of its obligations under the contract.</w:t>
      </w:r>
    </w:p>
    <w:p>
      <w:pPr>
        <w:pStyle w:val="Normal"/>
        <w:spacing w:before="120" w:after="120"/>
        <w:ind w:hanging="567" w:left="1134"/>
        <w:jc w:val="both"/>
        <w:rPr>
          <w:sz w:val="22"/>
          <w:szCs w:val="22"/>
        </w:rPr>
      </w:pPr>
      <w:r>
        <w:rPr>
          <w:bCs/>
          <w:sz w:val="22"/>
          <w:szCs w:val="22"/>
        </w:rPr>
        <w:t>5.3</w:t>
      </w:r>
      <w:r>
        <w:rPr>
          <w:sz w:val="22"/>
          <w:szCs w:val="22"/>
        </w:rPr>
        <w:tab/>
        <w:t>The project site supervisor and its representatives have the powers and responsibilities described in the Macedonian Law on Spatial Planning. Under no circumstances will the Supervisor’s representative be empowered to relieve the Contractor of its obligations under the contract or – save where express instructions to that effect are given below or in the contract – order works resulting in an extension of the period of implementation of tasks or additional costs to be paid by the Contracting Authority or introduce variants in the nature or scale of the works.</w:t>
      </w:r>
    </w:p>
    <w:p>
      <w:pPr>
        <w:pStyle w:val="Normal"/>
        <w:spacing w:before="120" w:after="120"/>
        <w:ind w:hanging="567" w:left="1134"/>
        <w:jc w:val="both"/>
        <w:rPr>
          <w:bCs/>
          <w:sz w:val="22"/>
          <w:szCs w:val="22"/>
        </w:rPr>
      </w:pPr>
      <w:r>
        <w:rPr>
          <w:bCs/>
          <w:sz w:val="22"/>
          <w:szCs w:val="22"/>
        </w:rPr>
        <w:t>5.4</w:t>
      </w:r>
      <w:r>
        <w:rPr>
          <w:sz w:val="22"/>
          <w:szCs w:val="22"/>
        </w:rPr>
        <w:tab/>
        <w:t>Instructions and/or orders issued in writing by the Supervisor shall be considered an administrative order. Such orders shall be dated, numbered and entered by the Supervisor in a register, and copies thereof delivered by hand, where appropriate, to the Contractor's representative. Instructions and/or orders issued in writing by the Supervisor shall be made in the compliance with Macedonian Law on Spatial Planning.</w:t>
      </w:r>
    </w:p>
    <w:p>
      <w:pPr>
        <w:pStyle w:val="Normal"/>
        <w:spacing w:before="240" w:after="0"/>
        <w:ind w:hanging="1134" w:left="1134"/>
        <w:jc w:val="both"/>
        <w:rPr>
          <w:b/>
          <w:szCs w:val="24"/>
        </w:rPr>
      </w:pPr>
      <w:bookmarkStart w:id="13" w:name="_Toc76894419"/>
      <w:r>
        <w:rPr>
          <w:b/>
          <w:szCs w:val="24"/>
        </w:rPr>
        <w:t>Article 8</w:t>
        <w:tab/>
        <w:t>Documents to be provided</w:t>
      </w:r>
      <w:bookmarkEnd w:id="13"/>
    </w:p>
    <w:p>
      <w:pPr>
        <w:pStyle w:val="Normal"/>
        <w:spacing w:before="120" w:after="120"/>
        <w:ind w:hanging="567" w:left="1134"/>
        <w:jc w:val="both"/>
        <w:rPr>
          <w:rStyle w:val="Emphasis"/>
          <w:sz w:val="22"/>
          <w:szCs w:val="22"/>
        </w:rPr>
      </w:pPr>
      <w:r>
        <w:rPr>
          <w:sz w:val="22"/>
          <w:szCs w:val="22"/>
        </w:rPr>
        <w:t>8.1</w:t>
        <w:tab/>
        <w:t xml:space="preserve">Main i.e. basic design (technical documentation) - </w:t>
      </w:r>
      <w:r>
        <w:rPr/>
        <w:t xml:space="preserve">“Construction of </w:t>
      </w:r>
      <w:r>
        <w:rPr>
          <w:sz w:val="22"/>
          <w:szCs w:val="22"/>
        </w:rPr>
        <w:t xml:space="preserve">Adrenaline Park with Associated Facilities (Temporary Structures)” - (Tech. no. </w:t>
      </w:r>
      <w:r>
        <w:rPr>
          <w:rStyle w:val="Emphasis"/>
          <w:i w:val="false"/>
          <w:sz w:val="22"/>
          <w:szCs w:val="22"/>
        </w:rPr>
        <w:t>04-53/2022)</w:t>
      </w:r>
      <w:r>
        <w:rPr>
          <w:rStyle w:val="Emphasis"/>
          <w:sz w:val="22"/>
          <w:szCs w:val="22"/>
        </w:rPr>
        <w:t>.</w:t>
      </w:r>
    </w:p>
    <w:p>
      <w:pPr>
        <w:pStyle w:val="Normal"/>
        <w:spacing w:before="120" w:after="120"/>
        <w:ind w:hanging="567" w:left="1134"/>
        <w:jc w:val="both"/>
        <w:rPr>
          <w:rStyle w:val="Emphasis"/>
          <w:sz w:val="22"/>
          <w:szCs w:val="22"/>
        </w:rPr>
      </w:pPr>
      <w:r>
        <w:rPr>
          <w:sz w:val="22"/>
          <w:szCs w:val="22"/>
        </w:rPr>
        <w:t>8.2</w:t>
        <w:tab/>
        <w:t xml:space="preserve">Revision of the basic design </w:t>
      </w:r>
      <w:r>
        <w:rPr/>
        <w:t xml:space="preserve">“Construction of Adrenaline Park with Associated Facilities (Temporary Structures)” </w:t>
      </w:r>
      <w:r>
        <w:rPr>
          <w:b/>
        </w:rPr>
        <w:t xml:space="preserve">- </w:t>
      </w:r>
      <w:r>
        <w:rPr>
          <w:sz w:val="22"/>
          <w:szCs w:val="22"/>
        </w:rPr>
        <w:t>(Tech. no. 03-129/2022</w:t>
      </w:r>
      <w:r>
        <w:rPr>
          <w:rStyle w:val="Emphasis"/>
          <w:i w:val="false"/>
          <w:sz w:val="22"/>
          <w:szCs w:val="22"/>
        </w:rPr>
        <w:t>)</w:t>
      </w:r>
      <w:r>
        <w:rPr>
          <w:rStyle w:val="Emphasis"/>
          <w:sz w:val="22"/>
          <w:szCs w:val="22"/>
        </w:rPr>
        <w:t>.</w:t>
      </w:r>
    </w:p>
    <w:p>
      <w:pPr>
        <w:pStyle w:val="Normal"/>
        <w:spacing w:before="120" w:after="120"/>
        <w:ind w:hanging="567" w:left="1134"/>
        <w:jc w:val="both"/>
        <w:rPr>
          <w:rStyle w:val="Emphasis"/>
          <w:sz w:val="22"/>
          <w:szCs w:val="22"/>
        </w:rPr>
      </w:pPr>
      <w:r>
        <w:rPr>
          <w:sz w:val="22"/>
          <w:szCs w:val="22"/>
        </w:rPr>
        <w:t>8.3</w:t>
        <w:tab/>
        <w:t>Construction permit no. 29-3372/5</w:t>
      </w:r>
      <w:r>
        <w:rPr>
          <w:rStyle w:val="Emphasis"/>
          <w:sz w:val="22"/>
          <w:szCs w:val="22"/>
        </w:rPr>
        <w:t>.</w:t>
      </w:r>
    </w:p>
    <w:p>
      <w:pPr>
        <w:pStyle w:val="Normal"/>
        <w:spacing w:before="120" w:after="120"/>
        <w:ind w:hanging="567" w:left="1134"/>
        <w:jc w:val="both"/>
        <w:rPr>
          <w:sz w:val="22"/>
          <w:szCs w:val="22"/>
        </w:rPr>
      </w:pPr>
      <w:r>
        <w:rPr>
          <w:sz w:val="22"/>
          <w:szCs w:val="22"/>
        </w:rPr>
      </w:r>
    </w:p>
    <w:p>
      <w:pPr>
        <w:pStyle w:val="Normal"/>
        <w:spacing w:before="120" w:after="0"/>
        <w:ind w:hanging="567" w:left="1134" w:right="238"/>
        <w:jc w:val="both"/>
        <w:rPr>
          <w:sz w:val="22"/>
          <w:szCs w:val="22"/>
        </w:rPr>
      </w:pPr>
      <w:r>
        <w:rPr>
          <w:sz w:val="22"/>
          <w:szCs w:val="22"/>
        </w:rPr>
        <w:t xml:space="preserve"> </w:t>
      </w:r>
    </w:p>
    <w:p>
      <w:pPr>
        <w:pStyle w:val="Normal"/>
        <w:spacing w:before="240" w:after="0"/>
        <w:ind w:hanging="1134" w:left="1134"/>
        <w:jc w:val="both"/>
        <w:rPr>
          <w:b/>
          <w:szCs w:val="24"/>
        </w:rPr>
      </w:pPr>
      <w:bookmarkStart w:id="14" w:name="_Toc76894420"/>
      <w:r>
        <w:rPr>
          <w:b/>
          <w:szCs w:val="24"/>
        </w:rPr>
        <w:t>Article 9</w:t>
        <w:tab/>
        <w:t>Access to the site</w:t>
      </w:r>
      <w:bookmarkEnd w:id="14"/>
    </w:p>
    <w:p>
      <w:pPr>
        <w:pStyle w:val="Normal"/>
        <w:spacing w:before="120" w:after="120"/>
        <w:ind w:hanging="567" w:left="1134"/>
        <w:jc w:val="both"/>
        <w:rPr>
          <w:sz w:val="22"/>
          <w:szCs w:val="22"/>
        </w:rPr>
      </w:pPr>
      <w:r>
        <w:rPr>
          <w:bCs/>
          <w:sz w:val="22"/>
          <w:szCs w:val="22"/>
        </w:rPr>
        <w:t>9.1</w:t>
      </w:r>
      <w:r>
        <w:rPr>
          <w:sz w:val="22"/>
          <w:szCs w:val="22"/>
        </w:rPr>
        <w:tab/>
        <w:t>The contractor is reminded that there is a head of delegation of the European Union in the state of the contracting authority. The contractor is obliged to give the head of delegation free access to its sites, factories, workshops, etc., and generally assist the head of delegation, like the project supervisor, in the performance of his duties. The same provisions also apply to the appointed representatives of the head of delegation.</w:t>
      </w:r>
    </w:p>
    <w:p>
      <w:pPr>
        <w:pStyle w:val="Normal"/>
        <w:spacing w:before="0" w:after="240"/>
        <w:ind w:left="1134"/>
        <w:jc w:val="both"/>
        <w:rPr>
          <w:sz w:val="22"/>
          <w:szCs w:val="22"/>
        </w:rPr>
      </w:pPr>
      <w:r>
        <w:rPr>
          <w:sz w:val="22"/>
          <w:szCs w:val="22"/>
        </w:rPr>
        <w:t xml:space="preserve">Also, the contractor is obliged to give the legal representative of the Operational Structure (Ministry of Local-self Government) and the legal representative of the Managing Authority (Ministry of </w:t>
      </w:r>
      <w:r>
        <w:rPr>
          <w:sz w:val="22"/>
          <w:szCs w:val="22"/>
          <w:lang w:val="en-US"/>
        </w:rPr>
        <w:t>Regional Development and Public Works</w:t>
      </w:r>
      <w:r>
        <w:rPr>
          <w:sz w:val="22"/>
          <w:szCs w:val="22"/>
        </w:rPr>
        <w:t xml:space="preserve">) free access to its sites, factories, workshops, etc., and generally assist the legal representatives of above mention parties, like the project supervisor, in the performance of his duties. </w:t>
      </w:r>
    </w:p>
    <w:p>
      <w:pPr>
        <w:pStyle w:val="Normal"/>
        <w:spacing w:before="120" w:after="120"/>
        <w:ind w:right="239"/>
        <w:jc w:val="both"/>
        <w:rPr>
          <w:b/>
          <w:bCs/>
          <w:sz w:val="22"/>
          <w:szCs w:val="22"/>
        </w:rPr>
      </w:pPr>
      <w:r>
        <w:rPr>
          <w:b/>
          <w:bCs/>
          <w:sz w:val="22"/>
          <w:szCs w:val="22"/>
        </w:rPr>
        <w:t>Article 12</w:t>
        <w:tab/>
        <w:t>General obligations</w:t>
      </w:r>
    </w:p>
    <w:p>
      <w:pPr>
        <w:pStyle w:val="Normal"/>
        <w:spacing w:before="120" w:after="120"/>
        <w:ind w:hanging="567" w:left="1134"/>
        <w:jc w:val="both"/>
        <w:rPr>
          <w:bCs/>
          <w:sz w:val="22"/>
          <w:szCs w:val="22"/>
        </w:rPr>
      </w:pPr>
      <w:r>
        <w:rPr>
          <w:bCs/>
          <w:sz w:val="22"/>
          <w:szCs w:val="22"/>
        </w:rPr>
        <w:t>12.9</w:t>
        <w:tab/>
      </w:r>
      <w:r>
        <w:rPr>
          <w:sz w:val="22"/>
          <w:szCs w:val="22"/>
        </w:rPr>
        <w:t xml:space="preserve">The </w:t>
      </w:r>
      <w:r>
        <w:rPr>
          <w:bCs/>
          <w:sz w:val="22"/>
          <w:szCs w:val="22"/>
        </w:rPr>
        <w:t>contractor to comply with its minimum obligation toward visibility and, if applicable, any additional communication activities agreed by the European Commission. These activities must comply with the latest Communication and Visibility Requirements for EU-funded external action, laid down and published by the European Commission.</w:t>
      </w:r>
    </w:p>
    <w:p>
      <w:pPr>
        <w:pStyle w:val="Normal"/>
        <w:spacing w:before="120" w:after="120"/>
        <w:ind w:hanging="567" w:left="1134"/>
        <w:jc w:val="both"/>
        <w:rPr>
          <w:b/>
          <w:bCs/>
          <w:sz w:val="22"/>
          <w:szCs w:val="22"/>
        </w:rPr>
      </w:pPr>
      <w:r>
        <w:rPr/>
        <w:tab/>
      </w:r>
      <w:r>
        <w:rPr>
          <w:sz w:val="22"/>
          <w:szCs w:val="22"/>
        </w:rPr>
        <w:t>The</w:t>
      </w:r>
      <w:r>
        <w:rPr>
          <w:bCs/>
          <w:sz w:val="22"/>
          <w:szCs w:val="22"/>
        </w:rPr>
        <w:t xml:space="preserve"> contractor is also obliged to comply with the visibility rules of the Interreg VI-A IPA Bulgaria - North Macedonia Programme i.e. Project Implementation Manual (Version 1/2025) related to general requirements and implementation on information and publicity measures.</w:t>
      </w:r>
    </w:p>
    <w:p>
      <w:pPr>
        <w:pStyle w:val="Normal"/>
        <w:spacing w:before="240" w:after="0"/>
        <w:ind w:hanging="1276" w:left="1276" w:right="239"/>
        <w:jc w:val="both"/>
        <w:rPr>
          <w:b/>
          <w:szCs w:val="24"/>
        </w:rPr>
      </w:pPr>
      <w:bookmarkStart w:id="15" w:name="_Toc76894421"/>
      <w:r>
        <w:rPr>
          <w:b/>
          <w:szCs w:val="24"/>
        </w:rPr>
        <w:t>Article 15</w:t>
        <w:tab/>
        <w:t>Performance guarantee</w:t>
      </w:r>
      <w:bookmarkEnd w:id="15"/>
    </w:p>
    <w:p>
      <w:pPr>
        <w:pStyle w:val="Normal"/>
        <w:spacing w:before="120" w:after="120"/>
        <w:ind w:hanging="709" w:left="1276" w:right="239"/>
        <w:jc w:val="both"/>
        <w:rPr>
          <w:sz w:val="22"/>
          <w:szCs w:val="22"/>
        </w:rPr>
      </w:pPr>
      <w:r>
        <w:rPr>
          <w:bCs/>
          <w:sz w:val="22"/>
          <w:szCs w:val="22"/>
        </w:rPr>
        <w:t>15.1</w:t>
      </w:r>
      <w:r>
        <w:rPr>
          <w:sz w:val="22"/>
          <w:szCs w:val="22"/>
        </w:rPr>
        <w:tab/>
      </w:r>
      <w:bookmarkStart w:id="16" w:name="_Toc76894422"/>
      <w:r>
        <w:rPr>
          <w:sz w:val="22"/>
          <w:szCs w:val="22"/>
        </w:rPr>
        <w:t>The successful tenderer will provide a performance guarantee of 5% of the amount of the contract at the signing of the contract. This guarantee must be provided together with the return of the counter 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pPr>
        <w:pStyle w:val="Normal"/>
        <w:spacing w:before="240" w:after="0"/>
        <w:ind w:hanging="1276" w:left="1276" w:right="239"/>
        <w:jc w:val="both"/>
        <w:rPr>
          <w:b/>
          <w:szCs w:val="24"/>
        </w:rPr>
      </w:pPr>
      <w:r>
        <w:rPr>
          <w:b/>
          <w:szCs w:val="24"/>
        </w:rPr>
        <w:t>Article 16</w:t>
        <w:tab/>
      </w:r>
      <w:r>
        <w:rPr>
          <w:b/>
        </w:rPr>
        <w:t>Liabilities</w:t>
      </w:r>
      <w:r>
        <w:rPr>
          <w:b/>
          <w:szCs w:val="24"/>
        </w:rPr>
        <w:t xml:space="preserve"> and insurance</w:t>
      </w:r>
      <w:bookmarkEnd w:id="16"/>
    </w:p>
    <w:p>
      <w:pPr>
        <w:pStyle w:val="Normal"/>
        <w:tabs>
          <w:tab w:val="clear" w:pos="720"/>
          <w:tab w:val="left" w:pos="1276" w:leader="none"/>
        </w:tabs>
        <w:spacing w:before="240" w:after="120"/>
        <w:ind w:hanging="992" w:left="1276"/>
        <w:jc w:val="both"/>
        <w:rPr>
          <w:sz w:val="22"/>
          <w:szCs w:val="22"/>
        </w:rPr>
      </w:pPr>
      <w:r>
        <w:rPr>
          <w:sz w:val="22"/>
          <w:szCs w:val="22"/>
        </w:rPr>
        <w:t>16.1 a)</w:t>
        <w:tab/>
        <w:t xml:space="preserve">By way of derogation from Article 16.1, a) paragraph 2, of the general conditions, compensation for damage to the works resulting from the contractor's liability in respect of the contracting authority is capped at an amount equal to the contract value. </w:t>
      </w:r>
    </w:p>
    <w:p>
      <w:pPr>
        <w:pStyle w:val="Normal"/>
        <w:tabs>
          <w:tab w:val="clear" w:pos="720"/>
          <w:tab w:val="left" w:pos="1276" w:leader="none"/>
        </w:tabs>
        <w:spacing w:before="240" w:after="120"/>
        <w:ind w:hanging="992" w:left="1276"/>
        <w:jc w:val="both"/>
        <w:rPr>
          <w:sz w:val="22"/>
          <w:szCs w:val="22"/>
        </w:rPr>
      </w:pPr>
      <w:r>
        <w:rPr>
          <w:sz w:val="22"/>
          <w:szCs w:val="22"/>
        </w:rPr>
        <w:t>16.1 b)</w:t>
        <w:tab/>
        <w:t>By way of derogation from Article 16.1, b), paragraph 2, of the general conditions, compensation for damage resulting from the contractor's liability in respect of the contracting authority is capped at an amount equal to the contract value.</w:t>
      </w:r>
    </w:p>
    <w:p>
      <w:pPr>
        <w:pStyle w:val="Normal"/>
        <w:spacing w:before="240" w:after="0"/>
        <w:ind w:hanging="1276" w:left="1276" w:right="239"/>
        <w:jc w:val="both"/>
        <w:rPr>
          <w:b/>
          <w:szCs w:val="24"/>
        </w:rPr>
      </w:pPr>
      <w:bookmarkStart w:id="17" w:name="_Toc76894423"/>
      <w:r>
        <w:rPr>
          <w:b/>
          <w:szCs w:val="24"/>
        </w:rPr>
        <w:t>Article 17</w:t>
        <w:tab/>
        <w:t>Programme</w:t>
      </w:r>
      <w:bookmarkEnd w:id="17"/>
      <w:r>
        <w:rPr>
          <w:b/>
          <w:szCs w:val="24"/>
        </w:rPr>
        <w:t xml:space="preserve"> of implementation of tasks</w:t>
      </w:r>
    </w:p>
    <w:p>
      <w:pPr>
        <w:pStyle w:val="Normal"/>
        <w:tabs>
          <w:tab w:val="clear" w:pos="720"/>
          <w:tab w:val="left" w:pos="1276" w:leader="none"/>
        </w:tabs>
        <w:spacing w:before="240" w:after="120"/>
        <w:ind w:hanging="992" w:left="1276"/>
        <w:jc w:val="both"/>
        <w:rPr>
          <w:sz w:val="22"/>
          <w:szCs w:val="22"/>
        </w:rPr>
      </w:pPr>
      <w:bookmarkStart w:id="18" w:name="_Toc76894425"/>
      <w:r>
        <w:rPr>
          <w:sz w:val="22"/>
          <w:szCs w:val="22"/>
        </w:rPr>
        <w:t>17.1</w:t>
        <w:tab/>
        <w:t>The contractor shall provide the supervisor with a simplified programme of implementation of the tasks. This programme shall include at least the order and time limits in which the contractor proposes to carry out the works, and shall be based on the tranches foreseen in Article 49.1 of the special conditions.</w:t>
      </w:r>
    </w:p>
    <w:p>
      <w:pPr>
        <w:pStyle w:val="Normal"/>
        <w:tabs>
          <w:tab w:val="clear" w:pos="720"/>
          <w:tab w:val="left" w:pos="1276" w:leader="none"/>
        </w:tabs>
        <w:spacing w:before="240" w:after="120"/>
        <w:ind w:hanging="992" w:left="1276"/>
        <w:jc w:val="both"/>
        <w:rPr>
          <w:sz w:val="22"/>
          <w:szCs w:val="22"/>
        </w:rPr>
      </w:pPr>
      <w:bookmarkStart w:id="19" w:name="_Toc76894425"/>
      <w:r>
        <w:rPr>
          <w:sz w:val="22"/>
          <w:szCs w:val="22"/>
        </w:rPr>
        <w:t xml:space="preserve">17.2. </w:t>
        <w:tab/>
        <w:t>The supervisor shall return this document to the contractor with any relevant remarks within 10 days of receipt, save where the supervisor, within those 10 days, notifies the contractor of its wish for a meeting in order to discuss the documents submitted.</w:t>
      </w:r>
      <w:bookmarkEnd w:id="19"/>
    </w:p>
    <w:p>
      <w:pPr>
        <w:pStyle w:val="Normal"/>
        <w:spacing w:before="240" w:after="0"/>
        <w:ind w:hanging="1276" w:left="1276" w:right="239"/>
        <w:jc w:val="both"/>
        <w:rPr>
          <w:b/>
          <w:szCs w:val="24"/>
        </w:rPr>
      </w:pPr>
      <w:r>
        <w:rPr>
          <w:b/>
          <w:szCs w:val="24"/>
        </w:rPr>
      </w:r>
    </w:p>
    <w:p>
      <w:pPr>
        <w:pStyle w:val="Normal"/>
        <w:spacing w:before="240" w:after="0"/>
        <w:ind w:hanging="1276" w:left="1276" w:right="239"/>
        <w:jc w:val="both"/>
        <w:rPr>
          <w:b/>
          <w:szCs w:val="24"/>
        </w:rPr>
      </w:pPr>
      <w:r>
        <w:rPr>
          <w:b/>
          <w:szCs w:val="24"/>
        </w:rPr>
        <w:t>Article 20</w:t>
        <w:tab/>
        <w:t>Sufficiency of tender prices</w:t>
      </w:r>
    </w:p>
    <w:p>
      <w:pPr>
        <w:pStyle w:val="Normal"/>
        <w:spacing w:before="120" w:after="120"/>
        <w:ind w:hanging="709" w:left="1276" w:right="239"/>
        <w:jc w:val="both"/>
        <w:rPr>
          <w:sz w:val="22"/>
          <w:szCs w:val="22"/>
        </w:rPr>
      </w:pPr>
      <w:r>
        <w:rPr>
          <w:bCs/>
          <w:sz w:val="22"/>
          <w:szCs w:val="22"/>
        </w:rPr>
        <w:t>20.1</w:t>
        <w:tab/>
      </w:r>
      <w:r>
        <w:rPr>
          <w:sz w:val="22"/>
          <w:szCs w:val="22"/>
        </w:rPr>
        <w:t>Contractor shell provide certification of the adrenaline park according to standard EN15567-1, by a licensed company (inspection and issuance of a certificate for use).</w:t>
      </w:r>
    </w:p>
    <w:p>
      <w:pPr>
        <w:pStyle w:val="Normal"/>
        <w:spacing w:before="120" w:after="120"/>
        <w:ind w:hanging="709" w:left="1276" w:right="239"/>
        <w:jc w:val="both"/>
        <w:rPr>
          <w:sz w:val="22"/>
          <w:szCs w:val="22"/>
        </w:rPr>
      </w:pPr>
      <w:r>
        <w:rPr>
          <w:bCs/>
          <w:sz w:val="22"/>
          <w:szCs w:val="22"/>
        </w:rPr>
        <w:t>20.2</w:t>
        <w:tab/>
      </w:r>
      <w:r>
        <w:rPr>
          <w:sz w:val="22"/>
          <w:szCs w:val="22"/>
        </w:rPr>
        <w:t>Training of rescuers by a licensed instructor according to standard EN15567-2, with issuance of a training completion license.</w:t>
      </w:r>
    </w:p>
    <w:p>
      <w:pPr>
        <w:pStyle w:val="Normal"/>
        <w:spacing w:before="120" w:after="120"/>
        <w:ind w:hanging="709" w:left="1276" w:right="239"/>
        <w:jc w:val="both"/>
        <w:rPr>
          <w:sz w:val="22"/>
          <w:szCs w:val="22"/>
        </w:rPr>
      </w:pPr>
      <w:r>
        <w:rPr>
          <w:bCs/>
          <w:sz w:val="22"/>
          <w:szCs w:val="22"/>
        </w:rPr>
        <w:t>20.3</w:t>
        <w:tab/>
        <w:t>Instructions for equipment operation and other installations and maintenance of the course (instructions should be in English and Macedonian language).</w:t>
      </w:r>
    </w:p>
    <w:p>
      <w:pPr>
        <w:pStyle w:val="Normal"/>
        <w:spacing w:before="240" w:after="0"/>
        <w:ind w:hanging="1276" w:left="1276" w:right="239"/>
        <w:jc w:val="both"/>
        <w:rPr>
          <w:b/>
          <w:szCs w:val="24"/>
        </w:rPr>
      </w:pPr>
      <w:r>
        <w:rPr>
          <w:b/>
          <w:szCs w:val="24"/>
        </w:rPr>
        <w:t>Article 21</w:t>
        <w:tab/>
        <w:t>Exceptional risks</w:t>
      </w:r>
    </w:p>
    <w:p>
      <w:pPr>
        <w:pStyle w:val="Normal"/>
        <w:spacing w:before="120" w:after="120"/>
        <w:ind w:left="1276"/>
        <w:jc w:val="both"/>
        <w:rPr>
          <w:sz w:val="22"/>
          <w:szCs w:val="22"/>
        </w:rPr>
      </w:pPr>
      <w:r>
        <w:rPr>
          <w:sz w:val="22"/>
          <w:szCs w:val="22"/>
        </w:rPr>
        <w:t>No derogation from the General Conditions.</w:t>
      </w:r>
    </w:p>
    <w:p>
      <w:pPr>
        <w:pStyle w:val="Normal"/>
        <w:spacing w:before="240" w:after="0"/>
        <w:ind w:hanging="1276" w:left="1276" w:right="239"/>
        <w:jc w:val="both"/>
        <w:rPr>
          <w:b/>
          <w:szCs w:val="24"/>
        </w:rPr>
      </w:pPr>
      <w:bookmarkStart w:id="20" w:name="_Toc76894426"/>
      <w:r>
        <w:rPr>
          <w:b/>
          <w:szCs w:val="24"/>
        </w:rPr>
        <w:t>Article 24</w:t>
        <w:tab/>
        <w:t>Interference with traffic</w:t>
      </w:r>
      <w:bookmarkEnd w:id="20"/>
    </w:p>
    <w:p>
      <w:pPr>
        <w:pStyle w:val="Normal"/>
        <w:spacing w:before="120" w:after="120"/>
        <w:ind w:left="1276"/>
        <w:jc w:val="both"/>
        <w:rPr>
          <w:sz w:val="22"/>
          <w:szCs w:val="22"/>
        </w:rPr>
      </w:pPr>
      <w:bookmarkStart w:id="21" w:name="_Toc76894427"/>
      <w:r>
        <w:rPr>
          <w:sz w:val="22"/>
          <w:szCs w:val="22"/>
        </w:rPr>
        <w:t>No derogation from the General Conditions.</w:t>
      </w:r>
    </w:p>
    <w:p>
      <w:pPr>
        <w:pStyle w:val="Normal"/>
        <w:spacing w:before="240" w:after="0"/>
        <w:ind w:hanging="1276" w:left="1276" w:right="239"/>
        <w:jc w:val="both"/>
        <w:rPr>
          <w:b/>
          <w:szCs w:val="24"/>
        </w:rPr>
      </w:pPr>
      <w:bookmarkStart w:id="22" w:name="_Toc76894427"/>
      <w:r>
        <w:rPr>
          <w:b/>
          <w:szCs w:val="24"/>
        </w:rPr>
        <w:t>Article 27</w:t>
        <w:tab/>
        <w:t>Demolished materials</w:t>
      </w:r>
      <w:bookmarkEnd w:id="22"/>
    </w:p>
    <w:p>
      <w:pPr>
        <w:pStyle w:val="Normal"/>
        <w:spacing w:before="120" w:after="120"/>
        <w:ind w:hanging="720" w:left="1260"/>
        <w:jc w:val="both"/>
        <w:rPr>
          <w:sz w:val="22"/>
          <w:szCs w:val="22"/>
        </w:rPr>
      </w:pPr>
      <w:r>
        <w:rPr>
          <w:bCs/>
          <w:sz w:val="22"/>
          <w:szCs w:val="22"/>
        </w:rPr>
        <w:t xml:space="preserve">27.4     Transportation, and unloading of surplus soil and other demolished materials will laid in a landfill 2 km away by the contractor. The location shall be approved and appointed by the contracting authority, </w:t>
      </w:r>
    </w:p>
    <w:p>
      <w:pPr>
        <w:pStyle w:val="Normal"/>
        <w:spacing w:before="240" w:after="0"/>
        <w:ind w:hanging="1276" w:left="1276" w:right="239"/>
        <w:jc w:val="both"/>
        <w:rPr>
          <w:b/>
          <w:szCs w:val="24"/>
        </w:rPr>
      </w:pPr>
      <w:r>
        <w:rPr>
          <w:b/>
          <w:szCs w:val="24"/>
        </w:rPr>
        <w:t>Article 29</w:t>
        <w:tab/>
        <w:t>Temporary works</w:t>
      </w:r>
    </w:p>
    <w:p>
      <w:pPr>
        <w:pStyle w:val="Normal"/>
        <w:spacing w:before="120" w:after="120"/>
        <w:ind w:hanging="709" w:left="1276" w:right="239"/>
        <w:jc w:val="both"/>
        <w:rPr>
          <w:bCs/>
          <w:sz w:val="22"/>
          <w:szCs w:val="22"/>
        </w:rPr>
      </w:pPr>
      <w:r>
        <w:rPr>
          <w:bCs/>
          <w:sz w:val="22"/>
          <w:szCs w:val="22"/>
        </w:rPr>
        <w:t>29.2</w:t>
        <w:tab/>
        <w:t>No</w:t>
      </w:r>
      <w:r>
        <w:rPr>
          <w:sz w:val="22"/>
          <w:szCs w:val="22"/>
        </w:rPr>
        <w:t xml:space="preserve"> particular temporary works will be executed as responsibility of the contracting authority.</w:t>
      </w:r>
    </w:p>
    <w:p>
      <w:pPr>
        <w:pStyle w:val="Normal"/>
        <w:spacing w:before="240" w:after="0"/>
        <w:ind w:hanging="1276" w:left="1276" w:right="239"/>
        <w:jc w:val="both"/>
        <w:rPr>
          <w:b/>
          <w:szCs w:val="24"/>
        </w:rPr>
      </w:pPr>
      <w:bookmarkStart w:id="23" w:name="_Toc76894428"/>
      <w:r>
        <w:rPr>
          <w:b/>
          <w:szCs w:val="24"/>
        </w:rPr>
        <w:t>Article 30</w:t>
        <w:tab/>
        <w:t>Soil studies</w:t>
      </w:r>
      <w:bookmarkEnd w:id="23"/>
    </w:p>
    <w:p>
      <w:pPr>
        <w:pStyle w:val="Normal"/>
        <w:spacing w:before="120" w:after="120"/>
        <w:ind w:hanging="709" w:left="1276" w:right="239"/>
        <w:jc w:val="both"/>
        <w:rPr>
          <w:bCs/>
          <w:sz w:val="22"/>
          <w:szCs w:val="22"/>
        </w:rPr>
      </w:pPr>
      <w:r>
        <w:rPr>
          <w:bCs/>
          <w:sz w:val="22"/>
          <w:szCs w:val="22"/>
        </w:rPr>
        <w:t>30.1</w:t>
        <w:tab/>
      </w:r>
      <w:r>
        <w:rPr>
          <w:sz w:val="22"/>
          <w:szCs w:val="22"/>
        </w:rPr>
        <w:t>No soil studies will be conducted.</w:t>
      </w:r>
    </w:p>
    <w:p>
      <w:pPr>
        <w:pStyle w:val="Normal"/>
        <w:spacing w:before="240" w:after="0"/>
        <w:ind w:hanging="1276" w:left="1276" w:right="239"/>
        <w:jc w:val="both"/>
        <w:rPr>
          <w:b/>
          <w:szCs w:val="24"/>
        </w:rPr>
      </w:pPr>
      <w:bookmarkStart w:id="24" w:name="_Toc76894429"/>
      <w:r>
        <w:rPr>
          <w:b/>
          <w:szCs w:val="24"/>
        </w:rPr>
        <w:t>Article 32</w:t>
        <w:tab/>
        <w:t>Patents and licenses</w:t>
      </w:r>
      <w:bookmarkEnd w:id="24"/>
    </w:p>
    <w:p>
      <w:pPr>
        <w:pStyle w:val="Normal"/>
        <w:spacing w:before="120" w:after="120"/>
        <w:ind w:firstLine="567"/>
        <w:jc w:val="both"/>
        <w:rPr>
          <w:sz w:val="22"/>
          <w:szCs w:val="22"/>
        </w:rPr>
      </w:pPr>
      <w:r>
        <w:rPr>
          <w:bCs/>
          <w:sz w:val="22"/>
          <w:szCs w:val="22"/>
        </w:rPr>
        <w:t>32.1</w:t>
        <w:tab/>
      </w:r>
      <w:bookmarkStart w:id="25" w:name="_Toc76894431"/>
      <w:r>
        <w:rPr>
          <w:sz w:val="22"/>
          <w:szCs w:val="22"/>
        </w:rPr>
        <w:t>No derogation from the General Conditions.</w:t>
      </w:r>
    </w:p>
    <w:p>
      <w:pPr>
        <w:pStyle w:val="Normal"/>
        <w:spacing w:before="240" w:after="0"/>
        <w:ind w:hanging="1276" w:left="1276" w:right="239"/>
        <w:jc w:val="both"/>
        <w:rPr>
          <w:b/>
          <w:szCs w:val="24"/>
        </w:rPr>
      </w:pPr>
      <w:r>
        <w:rPr>
          <w:b/>
          <w:szCs w:val="24"/>
        </w:rPr>
        <w:t>Article 34</w:t>
        <w:tab/>
        <w:t>Period of implementation of tasks</w:t>
      </w:r>
      <w:bookmarkEnd w:id="25"/>
    </w:p>
    <w:p>
      <w:pPr>
        <w:pStyle w:val="Title"/>
        <w:ind w:hanging="709" w:left="1276" w:right="239"/>
        <w:jc w:val="both"/>
        <w:rPr>
          <w:rFonts w:ascii="Times New Roman" w:hAnsi="Times New Roman"/>
          <w:b w:val="false"/>
          <w:bCs/>
          <w:smallCaps/>
          <w:sz w:val="22"/>
          <w:szCs w:val="22"/>
          <w:lang w:val="en-IE"/>
        </w:rPr>
      </w:pPr>
      <w:r>
        <w:rPr>
          <w:rFonts w:ascii="Times New Roman" w:hAnsi="Times New Roman"/>
          <w:b w:val="false"/>
          <w:sz w:val="22"/>
          <w:szCs w:val="22"/>
          <w:lang w:val="en-GB"/>
        </w:rPr>
        <w:t>34.1</w:t>
      </w:r>
      <w:r>
        <w:rPr>
          <w:rFonts w:ascii="Times New Roman" w:hAnsi="Times New Roman"/>
          <w:b w:val="false"/>
          <w:bCs/>
          <w:sz w:val="22"/>
          <w:szCs w:val="22"/>
          <w:lang w:val="en-GB"/>
        </w:rPr>
        <w:tab/>
        <w:t xml:space="preserve">The period of implementation of tasks is maximum </w:t>
      </w:r>
      <w:r>
        <w:rPr>
          <w:rFonts w:ascii="Times New Roman" w:hAnsi="Times New Roman"/>
          <w:b w:val="false"/>
          <w:bCs/>
          <w:sz w:val="22"/>
          <w:szCs w:val="22"/>
          <w:lang w:val="en-GB"/>
        </w:rPr>
        <w:t>12</w:t>
      </w:r>
      <w:r>
        <w:rPr>
          <w:rFonts w:ascii="Times New Roman" w:hAnsi="Times New Roman"/>
          <w:b w:val="false"/>
          <w:bCs/>
          <w:sz w:val="22"/>
          <w:szCs w:val="22"/>
          <w:lang w:val="en-GB"/>
        </w:rPr>
        <w:t xml:space="preserve"> months after signing of the contract, but not later than </w:t>
      </w:r>
      <w:r>
        <w:rPr>
          <w:rFonts w:ascii="Times New Roman" w:hAnsi="Times New Roman"/>
          <w:b w:val="false"/>
          <w:bCs/>
          <w:sz w:val="22"/>
          <w:szCs w:val="22"/>
          <w:lang w:val="en-GB"/>
        </w:rPr>
        <w:t>0</w:t>
      </w:r>
      <w:r>
        <w:rPr>
          <w:rFonts w:ascii="Times New Roman" w:hAnsi="Times New Roman"/>
          <w:b w:val="false"/>
          <w:bCs/>
          <w:sz w:val="22"/>
          <w:szCs w:val="22"/>
          <w:lang w:val="en-GB"/>
        </w:rPr>
        <w:t>1.</w:t>
      </w:r>
      <w:r>
        <w:rPr>
          <w:rFonts w:ascii="Times New Roman" w:hAnsi="Times New Roman"/>
          <w:b w:val="false"/>
          <w:bCs/>
          <w:sz w:val="22"/>
          <w:szCs w:val="22"/>
          <w:lang w:val="en-GB"/>
        </w:rPr>
        <w:t>10</w:t>
      </w:r>
      <w:r>
        <w:rPr>
          <w:rFonts w:ascii="Times New Roman" w:hAnsi="Times New Roman"/>
          <w:b w:val="false"/>
          <w:bCs/>
          <w:sz w:val="22"/>
          <w:szCs w:val="22"/>
          <w:lang w:val="en-GB"/>
        </w:rPr>
        <w:t>.202</w:t>
      </w:r>
      <w:r>
        <w:rPr>
          <w:rFonts w:ascii="Times New Roman" w:hAnsi="Times New Roman"/>
          <w:b w:val="false"/>
          <w:bCs/>
          <w:sz w:val="22"/>
          <w:szCs w:val="22"/>
          <w:lang w:val="en-GB"/>
        </w:rPr>
        <w:t>6</w:t>
      </w:r>
      <w:r>
        <w:rPr>
          <w:rFonts w:ascii="Times New Roman" w:hAnsi="Times New Roman"/>
          <w:b w:val="false"/>
          <w:bCs/>
          <w:sz w:val="22"/>
          <w:szCs w:val="22"/>
          <w:lang w:val="en-GB"/>
        </w:rPr>
        <w:t>.</w:t>
      </w:r>
    </w:p>
    <w:p>
      <w:pPr>
        <w:pStyle w:val="Normal"/>
        <w:spacing w:before="240" w:after="0"/>
        <w:ind w:hanging="1276" w:left="1276" w:right="239"/>
        <w:jc w:val="both"/>
        <w:rPr>
          <w:b/>
          <w:szCs w:val="24"/>
        </w:rPr>
      </w:pPr>
      <w:bookmarkStart w:id="26" w:name="_Toc76894432"/>
      <w:r>
        <w:rPr>
          <w:b/>
          <w:szCs w:val="24"/>
        </w:rPr>
        <w:t>Article 36</w:t>
        <w:tab/>
        <w:t>Delays in the implementation of tasks</w:t>
      </w:r>
      <w:bookmarkEnd w:id="26"/>
    </w:p>
    <w:p>
      <w:pPr>
        <w:pStyle w:val="Normal"/>
        <w:spacing w:before="120" w:after="120"/>
        <w:ind w:hanging="709" w:left="1276" w:right="239"/>
        <w:jc w:val="both"/>
        <w:rPr>
          <w:sz w:val="22"/>
          <w:szCs w:val="22"/>
        </w:rPr>
      </w:pPr>
      <w:r>
        <w:rPr>
          <w:bCs/>
          <w:sz w:val="22"/>
          <w:szCs w:val="22"/>
        </w:rPr>
        <w:t>36.1</w:t>
        <w:tab/>
      </w:r>
      <w:r>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Pr>
          <w:w w:val="50"/>
          <w:sz w:val="22"/>
          <w:szCs w:val="22"/>
        </w:rPr>
        <w:t> </w:t>
      </w:r>
      <w:r>
        <w:rPr>
          <w:sz w:val="22"/>
          <w:szCs w:val="22"/>
        </w:rPr>
        <w:t>% of the contract price or, if the contract is subdivided into phases, 10</w:t>
      </w:r>
      <w:r>
        <w:rPr>
          <w:w w:val="50"/>
          <w:sz w:val="22"/>
          <w:szCs w:val="22"/>
        </w:rPr>
        <w:t> </w:t>
      </w:r>
      <w:r>
        <w:rPr>
          <w:sz w:val="22"/>
          <w:szCs w:val="22"/>
        </w:rPr>
        <w:t>% of the price of the phase concerned.</w:t>
      </w:r>
    </w:p>
    <w:p>
      <w:pPr>
        <w:pStyle w:val="Normal"/>
        <w:spacing w:before="240" w:after="0"/>
        <w:ind w:hanging="1276" w:left="1276" w:right="239"/>
        <w:jc w:val="both"/>
        <w:rPr>
          <w:b/>
          <w:szCs w:val="24"/>
        </w:rPr>
      </w:pPr>
      <w:bookmarkStart w:id="27" w:name="_Toc76894434"/>
      <w:r>
        <w:rPr>
          <w:b/>
          <w:szCs w:val="24"/>
        </w:rPr>
        <w:t>Article 39</w:t>
        <w:tab/>
        <w:t>Work register</w:t>
      </w:r>
      <w:bookmarkEnd w:id="27"/>
    </w:p>
    <w:p>
      <w:pPr>
        <w:pStyle w:val="Normal"/>
        <w:spacing w:before="120" w:after="120"/>
        <w:ind w:hanging="709" w:left="1276"/>
        <w:jc w:val="both"/>
        <w:rPr>
          <w:sz w:val="22"/>
          <w:szCs w:val="22"/>
        </w:rPr>
      </w:pPr>
      <w:bookmarkStart w:id="28" w:name="_Toc76894435"/>
      <w:r>
        <w:rPr>
          <w:bCs/>
          <w:sz w:val="22"/>
          <w:szCs w:val="22"/>
        </w:rPr>
        <w:t>39.1</w:t>
        <w:tab/>
      </w:r>
      <w:r>
        <w:rPr>
          <w:sz w:val="22"/>
          <w:szCs w:val="22"/>
        </w:rPr>
        <w:t>To keep record i.e. archive and documentation of the construction process.</w:t>
      </w:r>
    </w:p>
    <w:p>
      <w:pPr>
        <w:pStyle w:val="Normal"/>
        <w:spacing w:before="120" w:after="120"/>
        <w:ind w:hanging="709" w:left="1276"/>
        <w:jc w:val="both"/>
        <w:rPr>
          <w:sz w:val="22"/>
          <w:szCs w:val="22"/>
        </w:rPr>
      </w:pPr>
      <w:r>
        <w:rPr>
          <w:sz w:val="22"/>
          <w:szCs w:val="22"/>
        </w:rPr>
        <w:t>39.2</w:t>
        <w:tab/>
        <w:t>To contractor shall keep record of the following documents:</w:t>
      </w:r>
    </w:p>
    <w:p>
      <w:pPr>
        <w:pStyle w:val="Normal"/>
        <w:tabs>
          <w:tab w:val="clear" w:pos="720"/>
          <w:tab w:val="left" w:pos="1276" w:leader="none"/>
        </w:tabs>
        <w:spacing w:before="60" w:after="60"/>
        <w:ind w:hanging="992" w:left="2268"/>
        <w:jc w:val="both"/>
        <w:rPr>
          <w:bCs/>
          <w:sz w:val="22"/>
          <w:szCs w:val="22"/>
        </w:rPr>
      </w:pPr>
      <w:r>
        <w:rPr>
          <w:bCs/>
          <w:sz w:val="22"/>
          <w:szCs w:val="22"/>
        </w:rPr>
        <w:t>- Construction log-book;</w:t>
      </w:r>
    </w:p>
    <w:p>
      <w:pPr>
        <w:pStyle w:val="Normal"/>
        <w:tabs>
          <w:tab w:val="clear" w:pos="720"/>
          <w:tab w:val="left" w:pos="1276" w:leader="none"/>
        </w:tabs>
        <w:spacing w:before="60" w:after="60"/>
        <w:ind w:hanging="992" w:left="2268"/>
        <w:jc w:val="both"/>
        <w:rPr>
          <w:bCs/>
          <w:sz w:val="22"/>
          <w:szCs w:val="22"/>
        </w:rPr>
      </w:pPr>
      <w:r>
        <w:rPr>
          <w:bCs/>
          <w:sz w:val="22"/>
          <w:szCs w:val="22"/>
        </w:rPr>
        <w:t>- Construction/building book;</w:t>
      </w:r>
    </w:p>
    <w:p>
      <w:pPr>
        <w:pStyle w:val="Normal"/>
        <w:tabs>
          <w:tab w:val="clear" w:pos="720"/>
          <w:tab w:val="left" w:pos="1276" w:leader="none"/>
        </w:tabs>
        <w:spacing w:before="60" w:after="60"/>
        <w:ind w:hanging="992" w:left="2268"/>
        <w:jc w:val="both"/>
        <w:rPr>
          <w:bCs/>
          <w:sz w:val="22"/>
          <w:szCs w:val="22"/>
        </w:rPr>
      </w:pPr>
      <w:r>
        <w:rPr>
          <w:bCs/>
          <w:sz w:val="22"/>
          <w:szCs w:val="22"/>
        </w:rPr>
        <w:t>- Time situation(s) – Invoice(s).</w:t>
      </w:r>
    </w:p>
    <w:p>
      <w:pPr>
        <w:pStyle w:val="Normal"/>
        <w:tabs>
          <w:tab w:val="clear" w:pos="720"/>
          <w:tab w:val="left" w:pos="1276" w:leader="none"/>
        </w:tabs>
        <w:spacing w:before="60" w:after="60"/>
        <w:ind w:hanging="992" w:left="2268"/>
        <w:jc w:val="both"/>
        <w:rPr>
          <w:bCs/>
          <w:sz w:val="22"/>
          <w:szCs w:val="22"/>
        </w:rPr>
      </w:pPr>
      <w:r>
        <w:rPr>
          <w:bCs/>
          <w:sz w:val="22"/>
          <w:szCs w:val="22"/>
        </w:rPr>
      </w:r>
    </w:p>
    <w:p>
      <w:pPr>
        <w:pStyle w:val="Normal"/>
        <w:spacing w:before="240" w:after="0"/>
        <w:ind w:hanging="1276" w:left="1276"/>
        <w:jc w:val="both"/>
        <w:rPr>
          <w:b/>
          <w:szCs w:val="24"/>
        </w:rPr>
      </w:pPr>
      <w:bookmarkStart w:id="29" w:name="_Toc76894435"/>
      <w:r>
        <w:rPr>
          <w:b/>
          <w:szCs w:val="24"/>
        </w:rPr>
        <w:t>Article 40</w:t>
        <w:tab/>
        <w:t>Origin and quality of works and materials</w:t>
      </w:r>
      <w:bookmarkEnd w:id="29"/>
    </w:p>
    <w:p>
      <w:pPr>
        <w:pStyle w:val="Heading2"/>
        <w:keepNext w:val="false"/>
        <w:numPr>
          <w:ilvl w:val="0"/>
          <w:numId w:val="0"/>
        </w:numPr>
        <w:spacing w:before="60" w:after="60"/>
        <w:ind w:hanging="709" w:left="1276"/>
        <w:rPr>
          <w:rFonts w:ascii="Times New Roman" w:hAnsi="Times New Roman"/>
          <w:b w:val="false"/>
          <w:sz w:val="22"/>
          <w:szCs w:val="22"/>
          <w:lang w:val="en-GB"/>
        </w:rPr>
      </w:pPr>
      <w:bookmarkStart w:id="30" w:name="_Toc76894436"/>
      <w:r>
        <w:rPr>
          <w:rFonts w:ascii="Times New Roman" w:hAnsi="Times New Roman"/>
          <w:b w:val="false"/>
          <w:bCs/>
          <w:sz w:val="22"/>
          <w:szCs w:val="22"/>
          <w:lang w:val="en-GB"/>
        </w:rPr>
        <w:t>40.1</w:t>
        <w:tab/>
      </w:r>
      <w:r>
        <w:rPr>
          <w:rFonts w:ascii="Times New Roman" w:hAnsi="Times New Roman"/>
          <w:b w:val="false"/>
          <w:sz w:val="22"/>
          <w:szCs w:val="22"/>
          <w:lang w:val="en-GB"/>
        </w:rPr>
        <w:t>All goods purchased under the contract must originate in any eligible source country as defined in the IPA III programme. However, the goods to be purchased may originate from any country, whenever the total price of the estimated quantity of those goods, as reflected in a separate item of the breakdown of the lump-sum price (Volume 4.2.3) is below EUR 100 000. A category of similar goods to be purchased shall not be broken down over more than 1 item of the breakdown of the lump-sum price (Volume 4.2.3).</w:t>
      </w:r>
    </w:p>
    <w:p>
      <w:pPr>
        <w:pStyle w:val="Heading2"/>
        <w:keepNext w:val="false"/>
        <w:numPr>
          <w:ilvl w:val="0"/>
          <w:numId w:val="0"/>
        </w:numPr>
        <w:spacing w:before="60" w:after="60"/>
        <w:ind w:hanging="0" w:left="1276"/>
        <w:rPr>
          <w:rFonts w:ascii="Times New Roman" w:hAnsi="Times New Roman"/>
          <w:b w:val="false"/>
          <w:sz w:val="22"/>
          <w:szCs w:val="22"/>
          <w:lang w:val="en-GB"/>
        </w:rPr>
      </w:pPr>
      <w:r>
        <w:rPr>
          <w:rFonts w:ascii="Times New Roman" w:hAnsi="Times New Roman"/>
          <w:b w:val="false"/>
          <w:sz w:val="22"/>
          <w:szCs w:val="22"/>
          <w:lang w:val="en-GB"/>
        </w:rPr>
        <w:t>For these purposes, ‘origin’ means the place where the goods are mined, grown, produced or manufactured and/or from which services are provided. The origin of the goods must be determined according to the EU Customs Code or the applicable international agreement.</w:t>
      </w:r>
    </w:p>
    <w:p>
      <w:pPr>
        <w:pStyle w:val="Heading2"/>
        <w:keepNext w:val="false"/>
        <w:numPr>
          <w:ilvl w:val="0"/>
          <w:numId w:val="0"/>
        </w:numPr>
        <w:spacing w:before="60" w:after="60"/>
        <w:ind w:hanging="0" w:left="1276"/>
        <w:rPr>
          <w:rFonts w:ascii="Times New Roman" w:hAnsi="Times New Roman"/>
          <w:b w:val="false"/>
          <w:sz w:val="22"/>
          <w:szCs w:val="22"/>
          <w:lang w:val="en-GB"/>
        </w:rPr>
      </w:pPr>
      <w:r>
        <w:rPr>
          <w:rFonts w:ascii="Times New Roman" w:hAnsi="Times New Roman"/>
          <w:b w:val="false"/>
          <w:sz w:val="22"/>
          <w:szCs w:val="22"/>
          <w:lang w:val="en-GB"/>
        </w:rPr>
        <w:t>Please be aware that after the United Kingdom's withdrawal from the EU, the rules of access to EU procurement procedures of economic operators established in third countries and of goods originating from third countries1 will apply to candidates or tenderers from the United Kingdom, and to all candidates or tenderers proposing goods originating1 from the United Kingdom depending on the outcome of negotiations. In case such access is not provided by legal provisions in force at the time of the contract award, candidates or tenderers from the United Kingdom, and candidates or tenderers proposing goods originating1 from the United Kingdom could be rejected from the procurement procedure.</w:t>
      </w:r>
    </w:p>
    <w:p>
      <w:pPr>
        <w:pStyle w:val="Normal"/>
        <w:spacing w:before="0" w:after="120"/>
        <w:ind w:left="1276"/>
        <w:jc w:val="both"/>
        <w:rPr>
          <w:sz w:val="22"/>
          <w:szCs w:val="22"/>
        </w:rPr>
      </w:pPr>
      <w:r>
        <w:rPr>
          <w:sz w:val="22"/>
          <w:szCs w:val="22"/>
        </w:rPr>
        <w:t>When importing goods, any change in the specified origin must be pointed out and approved by the supervisor.</w:t>
      </w:r>
    </w:p>
    <w:p>
      <w:pPr>
        <w:pStyle w:val="Normal"/>
        <w:spacing w:before="120" w:after="120"/>
        <w:ind w:hanging="709" w:left="1276"/>
        <w:jc w:val="both"/>
        <w:rPr>
          <w:sz w:val="22"/>
          <w:szCs w:val="22"/>
        </w:rPr>
      </w:pPr>
      <w:r>
        <w:rPr>
          <w:bCs/>
          <w:sz w:val="22"/>
          <w:szCs w:val="22"/>
        </w:rPr>
        <w:t>40.2</w:t>
        <w:tab/>
      </w:r>
      <w:r>
        <w:rPr>
          <w:sz w:val="22"/>
          <w:szCs w:val="22"/>
        </w:rPr>
        <w:t>The works and the objects, appliances, equipment or materials used in their construction must comply with:</w:t>
      </w:r>
    </w:p>
    <w:p>
      <w:pPr>
        <w:pStyle w:val="Normal"/>
        <w:tabs>
          <w:tab w:val="clear" w:pos="720"/>
          <w:tab w:val="left" w:pos="1276" w:leader="none"/>
        </w:tabs>
        <w:spacing w:before="40" w:after="40"/>
        <w:ind w:hanging="992" w:left="1440"/>
        <w:jc w:val="both"/>
        <w:rPr>
          <w:bCs/>
          <w:sz w:val="22"/>
          <w:szCs w:val="22"/>
        </w:rPr>
      </w:pPr>
      <w:r>
        <w:rPr>
          <w:sz w:val="22"/>
          <w:szCs w:val="22"/>
        </w:rPr>
        <w:tab/>
        <w:t>- Macedonian</w:t>
      </w:r>
      <w:r>
        <w:rPr>
          <w:bCs/>
          <w:sz w:val="22"/>
          <w:szCs w:val="22"/>
        </w:rPr>
        <w:t xml:space="preserve"> standards transposing European or international standards, or equivalent;</w:t>
      </w:r>
    </w:p>
    <w:p>
      <w:pPr>
        <w:pStyle w:val="Normal"/>
        <w:tabs>
          <w:tab w:val="clear" w:pos="720"/>
          <w:tab w:val="left" w:pos="1276" w:leader="none"/>
        </w:tabs>
        <w:spacing w:before="40" w:after="40"/>
        <w:ind w:hanging="992" w:left="1276"/>
        <w:jc w:val="both"/>
        <w:rPr>
          <w:bCs/>
          <w:sz w:val="22"/>
          <w:szCs w:val="22"/>
        </w:rPr>
      </w:pPr>
      <w:r>
        <w:rPr>
          <w:sz w:val="22"/>
          <w:szCs w:val="22"/>
        </w:rPr>
        <w:tab/>
        <w:t>-  Macedonian</w:t>
      </w:r>
      <w:r>
        <w:rPr>
          <w:bCs/>
          <w:sz w:val="22"/>
          <w:szCs w:val="22"/>
        </w:rPr>
        <w:t xml:space="preserve"> standards or equivalent;</w:t>
      </w:r>
    </w:p>
    <w:p>
      <w:pPr>
        <w:pStyle w:val="Normal"/>
        <w:tabs>
          <w:tab w:val="clear" w:pos="720"/>
          <w:tab w:val="left" w:pos="1276" w:leader="none"/>
        </w:tabs>
        <w:spacing w:before="40" w:after="40"/>
        <w:ind w:hanging="992" w:left="1440"/>
        <w:jc w:val="both"/>
        <w:rPr>
          <w:bCs/>
          <w:sz w:val="22"/>
          <w:szCs w:val="22"/>
        </w:rPr>
      </w:pPr>
      <w:r>
        <w:rPr>
          <w:bCs/>
          <w:sz w:val="22"/>
          <w:szCs w:val="22"/>
        </w:rPr>
        <w:tab/>
        <w:t>- In case that there are no published standards apply Macedonian technical approvals and regulations for the design, implementation and supervision of works or individual construction works.</w:t>
      </w:r>
    </w:p>
    <w:p>
      <w:pPr>
        <w:pStyle w:val="Normal"/>
        <w:spacing w:before="120" w:after="120"/>
        <w:ind w:hanging="709" w:left="1276"/>
        <w:jc w:val="both"/>
        <w:rPr>
          <w:bCs/>
          <w:sz w:val="22"/>
          <w:szCs w:val="22"/>
        </w:rPr>
      </w:pPr>
      <w:r>
        <w:rPr>
          <w:bCs/>
          <w:sz w:val="22"/>
          <w:szCs w:val="22"/>
        </w:rPr>
        <w:t>40.3</w:t>
      </w:r>
      <w:r>
        <w:rPr>
          <w:sz w:val="22"/>
          <w:szCs w:val="22"/>
        </w:rPr>
        <w:tab/>
        <w:t>The preliminary technical acceptance will be conducted according the national legislation and the conditions governing its implementation. The acceptance will be confirmed by the Supervisor (Final Technical Report for the Civil Construction).</w:t>
      </w:r>
    </w:p>
    <w:p>
      <w:pPr>
        <w:pStyle w:val="Normal"/>
        <w:spacing w:before="240" w:after="0"/>
        <w:ind w:hanging="1276" w:left="1276" w:right="239"/>
        <w:jc w:val="both"/>
        <w:rPr>
          <w:b/>
          <w:szCs w:val="24"/>
        </w:rPr>
      </w:pPr>
      <w:bookmarkStart w:id="31" w:name="_Toc76894436"/>
      <w:r>
        <w:rPr>
          <w:b/>
          <w:szCs w:val="24"/>
        </w:rPr>
        <w:t>Article 41</w:t>
        <w:tab/>
        <w:t>Inspection and testing</w:t>
      </w:r>
      <w:bookmarkEnd w:id="31"/>
    </w:p>
    <w:p>
      <w:pPr>
        <w:pStyle w:val="Normal"/>
        <w:spacing w:before="120" w:after="120"/>
        <w:ind w:hanging="709" w:left="1276"/>
        <w:jc w:val="both"/>
        <w:rPr>
          <w:b/>
          <w:bCs/>
          <w:sz w:val="22"/>
          <w:szCs w:val="22"/>
          <w:lang w:val="mk-MK"/>
        </w:rPr>
      </w:pPr>
      <w:r>
        <w:rPr>
          <w:sz w:val="22"/>
          <w:szCs w:val="22"/>
        </w:rPr>
        <w:t xml:space="preserve">41.1 </w:t>
      </w:r>
      <w:r>
        <w:rPr>
          <w:sz w:val="22"/>
          <w:szCs w:val="22"/>
          <w:lang w:val="mk-MK"/>
        </w:rPr>
        <w:t xml:space="preserve">    </w:t>
      </w:r>
      <w:r>
        <w:rPr>
          <w:sz w:val="22"/>
          <w:szCs w:val="22"/>
        </w:rPr>
        <w:t>The Contracting Authority reserves the right to carry out testing and inspection directly or through the Supervisory Authority of the materials, equipment and any items that are part of the construction and installation.</w:t>
      </w:r>
    </w:p>
    <w:p>
      <w:pPr>
        <w:pStyle w:val="Normal"/>
        <w:spacing w:before="240" w:after="0"/>
        <w:ind w:hanging="1276" w:left="1276" w:right="239"/>
        <w:jc w:val="both"/>
        <w:rPr>
          <w:b/>
          <w:szCs w:val="24"/>
        </w:rPr>
      </w:pPr>
      <w:bookmarkStart w:id="32" w:name="_Toc76894437"/>
      <w:r>
        <w:rPr>
          <w:b/>
          <w:szCs w:val="24"/>
        </w:rPr>
        <w:t>Article 43</w:t>
        <w:tab/>
        <w:t>Ownership of plant and materials</w:t>
      </w:r>
      <w:bookmarkEnd w:id="32"/>
    </w:p>
    <w:p>
      <w:pPr>
        <w:pStyle w:val="Normal"/>
        <w:spacing w:before="120" w:after="120"/>
        <w:ind w:hanging="709" w:left="1276"/>
        <w:jc w:val="both"/>
        <w:rPr>
          <w:sz w:val="22"/>
          <w:szCs w:val="22"/>
          <w:highlight w:val="yellow"/>
        </w:rPr>
      </w:pPr>
      <w:bookmarkStart w:id="33" w:name="_Toc76894438"/>
      <w:r>
        <w:rPr>
          <w:bCs/>
          <w:sz w:val="22"/>
          <w:szCs w:val="22"/>
        </w:rPr>
        <w:t>43.2</w:t>
        <w:tab/>
        <w:t>T</w:t>
      </w:r>
      <w:r>
        <w:rPr>
          <w:sz w:val="22"/>
          <w:szCs w:val="22"/>
        </w:rPr>
        <w:t>he equipment, temporary structures, plant and materials on the site shall for the duration of the execution of the works, be vested in the contracting authority.</w:t>
      </w:r>
    </w:p>
    <w:p>
      <w:pPr>
        <w:pStyle w:val="Normal"/>
        <w:spacing w:before="240" w:after="0"/>
        <w:ind w:hanging="1276" w:left="1276" w:right="239"/>
        <w:jc w:val="both"/>
        <w:rPr>
          <w:b/>
          <w:szCs w:val="24"/>
        </w:rPr>
      </w:pPr>
      <w:bookmarkStart w:id="34" w:name="_Toc76894438"/>
      <w:r>
        <w:rPr>
          <w:b/>
          <w:szCs w:val="24"/>
        </w:rPr>
        <w:t>Article 44:</w:t>
        <w:tab/>
        <w:t>General principles for payments</w:t>
      </w:r>
      <w:bookmarkEnd w:id="34"/>
    </w:p>
    <w:p>
      <w:pPr>
        <w:pStyle w:val="Normal"/>
        <w:tabs>
          <w:tab w:val="clear" w:pos="720"/>
          <w:tab w:val="right" w:pos="9885" w:leader="none"/>
        </w:tabs>
        <w:spacing w:before="120" w:after="120"/>
        <w:ind w:hanging="709" w:left="1276"/>
        <w:jc w:val="both"/>
        <w:rPr>
          <w:sz w:val="22"/>
          <w:szCs w:val="22"/>
        </w:rPr>
      </w:pPr>
      <w:r>
        <w:rPr>
          <w:bCs/>
          <w:sz w:val="22"/>
          <w:szCs w:val="22"/>
        </w:rPr>
        <w:t>44.1</w:t>
      </w:r>
      <w:r>
        <w:rPr>
          <w:sz w:val="22"/>
          <w:szCs w:val="22"/>
        </w:rPr>
        <w:tab/>
        <w:t xml:space="preserve">Payments shall be made in national currency – Macedonian Denar (MKD). </w:t>
      </w:r>
    </w:p>
    <w:p>
      <w:pPr>
        <w:pStyle w:val="Normal"/>
        <w:spacing w:before="120" w:after="120"/>
        <w:ind w:hanging="709" w:left="1276"/>
        <w:jc w:val="both"/>
        <w:rPr>
          <w:sz w:val="22"/>
          <w:szCs w:val="22"/>
        </w:rPr>
      </w:pPr>
      <w:r>
        <w:rPr>
          <w:sz w:val="22"/>
          <w:szCs w:val="22"/>
        </w:rPr>
        <w:t>44.3</w:t>
        <w:tab/>
        <w:t>By derogation, pre-financing payment to the contractor for the lump-sum advance shall be made within 30 days. Other pre-financing payments to the contractor shall be made within 90 days. Interim payments to the contractor of the amounts due under each of the interim payment certificates approved by the supervisor shall be made within 90 days, and the final payment to the contractor of the amounts due after the final statement of account issued by the supervisor shall be made within 90 days.</w:t>
      </w:r>
    </w:p>
    <w:p>
      <w:pPr>
        <w:pStyle w:val="Normal"/>
        <w:spacing w:before="120" w:after="120"/>
        <w:ind w:hanging="709" w:left="1276"/>
        <w:jc w:val="both"/>
        <w:rPr>
          <w:sz w:val="22"/>
          <w:szCs w:val="22"/>
        </w:rPr>
      </w:pPr>
      <w:r>
        <w:rPr>
          <w:sz w:val="22"/>
          <w:szCs w:val="22"/>
        </w:rPr>
      </w:r>
    </w:p>
    <w:p>
      <w:pPr>
        <w:pStyle w:val="Normal"/>
        <w:spacing w:before="240" w:after="0"/>
        <w:ind w:hanging="1276" w:left="1276" w:right="239"/>
        <w:jc w:val="both"/>
        <w:rPr>
          <w:b/>
          <w:szCs w:val="24"/>
        </w:rPr>
      </w:pPr>
      <w:r>
        <w:rPr>
          <w:b/>
          <w:szCs w:val="24"/>
        </w:rPr>
        <w:t>Article 46</w:t>
        <w:tab/>
        <w:t>Pre-financing</w:t>
      </w:r>
    </w:p>
    <w:p>
      <w:pPr>
        <w:pStyle w:val="Normal"/>
        <w:spacing w:before="120" w:after="120"/>
        <w:ind w:hanging="709" w:left="1276" w:right="239"/>
        <w:jc w:val="both"/>
        <w:rPr>
          <w:sz w:val="22"/>
          <w:szCs w:val="22"/>
        </w:rPr>
      </w:pPr>
      <w:r>
        <w:rPr>
          <w:sz w:val="22"/>
          <w:szCs w:val="22"/>
        </w:rPr>
        <w:t>46.1</w:t>
        <w:tab/>
        <w:t>Pre-financing is possible</w:t>
      </w:r>
      <w:r>
        <w:rPr>
          <w:sz w:val="22"/>
          <w:szCs w:val="22"/>
          <w:lang w:val="mk-MK"/>
        </w:rPr>
        <w:t>.</w:t>
      </w:r>
      <w:r>
        <w:rPr>
          <w:sz w:val="22"/>
          <w:szCs w:val="22"/>
        </w:rPr>
        <w:t xml:space="preserve"> </w:t>
      </w:r>
    </w:p>
    <w:p>
      <w:pPr>
        <w:pStyle w:val="Normal"/>
        <w:spacing w:before="120" w:after="120"/>
        <w:ind w:hanging="709" w:left="1276" w:right="239"/>
        <w:jc w:val="both"/>
        <w:rPr>
          <w:sz w:val="22"/>
          <w:szCs w:val="22"/>
        </w:rPr>
      </w:pPr>
      <w:r>
        <w:rPr>
          <w:sz w:val="22"/>
          <w:szCs w:val="22"/>
        </w:rPr>
        <w:t>46.2</w:t>
        <w:tab/>
        <w:t>Total amount of the pre-financing is maximum 10% (flat rate).</w:t>
      </w:r>
    </w:p>
    <w:p>
      <w:pPr>
        <w:pStyle w:val="Normal"/>
        <w:spacing w:before="120" w:after="120"/>
        <w:ind w:left="1276" w:right="239"/>
        <w:jc w:val="both"/>
        <w:rPr>
          <w:sz w:val="22"/>
          <w:szCs w:val="22"/>
        </w:rPr>
      </w:pPr>
      <w:bookmarkStart w:id="35" w:name="_Hlk169106778"/>
      <w:r>
        <w:rPr>
          <w:bCs/>
          <w:sz w:val="22"/>
          <w:szCs w:val="22"/>
        </w:rPr>
        <w:t xml:space="preserve">The first-prefinancing payment shall not be subject to the receipt of an invoice and no invoice is required. </w:t>
      </w:r>
      <w:bookmarkEnd w:id="35"/>
    </w:p>
    <w:p>
      <w:pPr>
        <w:pStyle w:val="Normal"/>
        <w:spacing w:before="0" w:after="120"/>
        <w:ind w:hanging="709" w:left="1276" w:right="239"/>
        <w:jc w:val="both"/>
        <w:rPr>
          <w:sz w:val="22"/>
          <w:szCs w:val="22"/>
        </w:rPr>
      </w:pPr>
      <w:r>
        <w:rPr>
          <w:bCs/>
          <w:sz w:val="22"/>
          <w:szCs w:val="22"/>
        </w:rPr>
        <w:t>46.8</w:t>
        <w:tab/>
      </w:r>
      <w:r>
        <w:rPr>
          <w:sz w:val="22"/>
          <w:szCs w:val="22"/>
        </w:rPr>
        <w:t>Repayment of the pre-financing shall take the form of deductions based on the first interim payment.</w:t>
      </w:r>
    </w:p>
    <w:p>
      <w:pPr>
        <w:pStyle w:val="Normal"/>
        <w:spacing w:before="240" w:after="0"/>
        <w:ind w:hanging="1276" w:left="1276" w:right="239"/>
        <w:jc w:val="both"/>
        <w:rPr>
          <w:b/>
          <w:szCs w:val="24"/>
        </w:rPr>
      </w:pPr>
      <w:bookmarkStart w:id="36" w:name="_Toc76894440"/>
      <w:r>
        <w:rPr>
          <w:b/>
          <w:szCs w:val="24"/>
        </w:rPr>
        <w:t>Article 47</w:t>
        <w:tab/>
        <w:t>Retention monies</w:t>
      </w:r>
      <w:bookmarkEnd w:id="36"/>
    </w:p>
    <w:p>
      <w:pPr>
        <w:pStyle w:val="Normal"/>
        <w:spacing w:before="120" w:after="120"/>
        <w:ind w:hanging="709" w:left="1276" w:right="239"/>
        <w:jc w:val="both"/>
        <w:rPr>
          <w:bCs/>
          <w:sz w:val="22"/>
          <w:szCs w:val="22"/>
        </w:rPr>
      </w:pPr>
      <w:r>
        <w:rPr>
          <w:bCs/>
          <w:sz w:val="22"/>
          <w:szCs w:val="22"/>
        </w:rPr>
        <w:t>47.1</w:t>
        <w:tab/>
        <w:t xml:space="preserve">No </w:t>
      </w:r>
      <w:r>
        <w:rPr>
          <w:sz w:val="22"/>
          <w:szCs w:val="22"/>
        </w:rPr>
        <w:t xml:space="preserve">retention monies are envisaged. </w:t>
      </w:r>
    </w:p>
    <w:p>
      <w:pPr>
        <w:pStyle w:val="Normal"/>
        <w:spacing w:before="240" w:after="0"/>
        <w:ind w:hanging="1276" w:left="1276" w:right="239"/>
        <w:jc w:val="both"/>
        <w:rPr>
          <w:b/>
          <w:szCs w:val="24"/>
        </w:rPr>
      </w:pPr>
      <w:bookmarkStart w:id="37" w:name="_Toc76894441"/>
      <w:r>
        <w:rPr>
          <w:b/>
          <w:szCs w:val="24"/>
        </w:rPr>
        <w:t>Article 48</w:t>
        <w:tab/>
        <w:t>Price revision</w:t>
      </w:r>
      <w:bookmarkEnd w:id="37"/>
    </w:p>
    <w:p>
      <w:pPr>
        <w:pStyle w:val="Normal"/>
        <w:spacing w:before="120" w:after="120"/>
        <w:ind w:hanging="709" w:left="1276" w:right="239"/>
        <w:jc w:val="both"/>
        <w:rPr>
          <w:sz w:val="22"/>
          <w:szCs w:val="22"/>
        </w:rPr>
      </w:pPr>
      <w:r>
        <w:rPr>
          <w:sz w:val="22"/>
          <w:szCs w:val="22"/>
        </w:rPr>
        <w:t>48.1</w:t>
        <w:tab/>
      </w:r>
      <w:bookmarkStart w:id="38" w:name="_Toc76894442"/>
      <w:r>
        <w:rPr>
          <w:sz w:val="22"/>
          <w:szCs w:val="22"/>
        </w:rPr>
        <w:t>Prices are fixed and shall not be revised.</w:t>
      </w:r>
    </w:p>
    <w:p>
      <w:pPr>
        <w:pStyle w:val="Normal"/>
        <w:spacing w:before="240" w:after="0"/>
        <w:ind w:hanging="1276" w:left="1276" w:right="239"/>
        <w:jc w:val="both"/>
        <w:rPr>
          <w:b/>
          <w:szCs w:val="24"/>
        </w:rPr>
      </w:pPr>
      <w:r>
        <w:rPr>
          <w:b/>
          <w:szCs w:val="24"/>
        </w:rPr>
        <w:t>Article 49</w:t>
        <w:tab/>
        <w:t>Measurement</w:t>
      </w:r>
      <w:bookmarkEnd w:id="38"/>
    </w:p>
    <w:p>
      <w:pPr>
        <w:pStyle w:val="Normal"/>
        <w:spacing w:before="120" w:after="120"/>
        <w:ind w:hanging="709" w:left="1276" w:right="239"/>
        <w:jc w:val="both"/>
        <w:rPr>
          <w:sz w:val="22"/>
          <w:szCs w:val="22"/>
        </w:rPr>
      </w:pPr>
      <w:r>
        <w:rPr>
          <w:bCs/>
          <w:sz w:val="22"/>
          <w:szCs w:val="22"/>
        </w:rPr>
        <w:t>49.1</w:t>
        <w:tab/>
      </w:r>
      <w:r>
        <w:rPr>
          <w:sz w:val="22"/>
          <w:szCs w:val="22"/>
        </w:rPr>
        <w:t>This is a lump</w:t>
        <w:noBreakHyphen/>
        <w:t>sum contract.</w:t>
      </w:r>
    </w:p>
    <w:p>
      <w:pPr>
        <w:pStyle w:val="Text1"/>
        <w:ind w:hanging="709" w:left="1276" w:right="239"/>
        <w:rPr>
          <w:sz w:val="22"/>
          <w:szCs w:val="22"/>
          <w:lang w:eastAsia="en-GB"/>
        </w:rPr>
      </w:pPr>
      <w:r>
        <w:rPr>
          <w:sz w:val="22"/>
          <w:szCs w:val="22"/>
          <w:lang w:eastAsia="en-GB"/>
        </w:rPr>
        <w:tab/>
        <w:t>By measuring the percentage of works carried out in relation to the firm quantities of each item of the breakdown of the lump-sum price and by applying that percentage to the lump-sum price of the related item.</w:t>
      </w:r>
    </w:p>
    <w:tbl>
      <w:tblPr>
        <w:tblW w:w="8251" w:type="dxa"/>
        <w:jc w:val="left"/>
        <w:tblInd w:w="1276" w:type="dxa"/>
        <w:tblLayout w:type="fixed"/>
        <w:tblCellMar>
          <w:top w:w="0" w:type="dxa"/>
          <w:left w:w="108" w:type="dxa"/>
          <w:bottom w:w="0" w:type="dxa"/>
          <w:right w:w="108" w:type="dxa"/>
        </w:tblCellMar>
        <w:tblLook w:firstRow="1" w:noVBand="1" w:lastRow="0" w:firstColumn="1" w:lastColumn="0" w:noHBand="0" w:val="04a0"/>
      </w:tblPr>
      <w:tblGrid>
        <w:gridCol w:w="533"/>
        <w:gridCol w:w="1275"/>
        <w:gridCol w:w="2552"/>
        <w:gridCol w:w="3890"/>
      </w:tblGrid>
      <w:tr>
        <w:trPr/>
        <w:tc>
          <w:tcPr>
            <w:tcW w:w="53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b/>
                <w:sz w:val="22"/>
                <w:szCs w:val="22"/>
              </w:rPr>
            </w:pPr>
            <w:r>
              <w:rPr>
                <w:b/>
                <w:sz w:val="22"/>
                <w:szCs w:val="22"/>
              </w:rPr>
            </w:r>
          </w:p>
        </w:tc>
        <w:tc>
          <w:tcPr>
            <w:tcW w:w="127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b/>
                <w:sz w:val="22"/>
                <w:szCs w:val="22"/>
              </w:rPr>
            </w:pPr>
            <w:r>
              <w:rPr>
                <w:b/>
                <w:sz w:val="22"/>
                <w:szCs w:val="22"/>
              </w:rPr>
              <w:t>Percentage</w:t>
            </w:r>
          </w:p>
        </w:tc>
        <w:tc>
          <w:tcPr>
            <w:tcW w:w="255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b/>
                <w:sz w:val="22"/>
                <w:szCs w:val="22"/>
              </w:rPr>
            </w:pPr>
            <w:r>
              <w:rPr>
                <w:b/>
                <w:sz w:val="22"/>
                <w:szCs w:val="22"/>
              </w:rPr>
              <w:t>Nature</w:t>
            </w:r>
          </w:p>
        </w:tc>
        <w:tc>
          <w:tcPr>
            <w:tcW w:w="389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b/>
                <w:sz w:val="22"/>
                <w:szCs w:val="22"/>
              </w:rPr>
            </w:pPr>
            <w:r>
              <w:rPr>
                <w:b/>
                <w:sz w:val="22"/>
                <w:szCs w:val="22"/>
              </w:rPr>
              <w:t>Timing</w:t>
            </w:r>
          </w:p>
        </w:tc>
      </w:tr>
      <w:tr>
        <w:trPr/>
        <w:tc>
          <w:tcPr>
            <w:tcW w:w="53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both"/>
              <w:rPr>
                <w:sz w:val="22"/>
                <w:szCs w:val="22"/>
              </w:rPr>
            </w:pPr>
            <w:r>
              <w:rPr>
                <w:sz w:val="22"/>
                <w:szCs w:val="22"/>
              </w:rPr>
              <w:t>1.</w:t>
            </w:r>
          </w:p>
        </w:tc>
        <w:tc>
          <w:tcPr>
            <w:tcW w:w="127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b/>
                <w:sz w:val="22"/>
                <w:szCs w:val="22"/>
              </w:rPr>
            </w:pPr>
            <w:r>
              <w:rPr>
                <w:sz w:val="22"/>
                <w:szCs w:val="22"/>
                <w:lang w:val="en-US"/>
              </w:rPr>
              <w:t>1</w:t>
            </w:r>
            <w:r>
              <w:rPr>
                <w:sz w:val="22"/>
                <w:szCs w:val="22"/>
                <w:lang w:val="bg-BG"/>
              </w:rPr>
              <w:t>0</w:t>
            </w:r>
            <w:r>
              <w:rPr>
                <w:sz w:val="22"/>
                <w:szCs w:val="22"/>
              </w:rPr>
              <w:t>%</w:t>
            </w:r>
          </w:p>
          <w:p>
            <w:pPr>
              <w:pStyle w:val="Normal"/>
              <w:spacing w:before="120" w:after="120"/>
              <w:jc w:val="right"/>
              <w:rPr>
                <w:sz w:val="22"/>
                <w:szCs w:val="22"/>
              </w:rPr>
            </w:pPr>
            <w:r>
              <w:rPr>
                <w:sz w:val="22"/>
                <w:szCs w:val="22"/>
              </w:rPr>
            </w:r>
          </w:p>
        </w:tc>
        <w:tc>
          <w:tcPr>
            <w:tcW w:w="255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both"/>
              <w:rPr>
                <w:sz w:val="22"/>
                <w:szCs w:val="22"/>
              </w:rPr>
            </w:pPr>
            <w:r>
              <w:rPr>
                <w:sz w:val="22"/>
                <w:szCs w:val="22"/>
              </w:rPr>
              <w:t>Lump-sum advance payment of Article 46.1(a)</w:t>
            </w:r>
          </w:p>
        </w:tc>
        <w:tc>
          <w:tcPr>
            <w:tcW w:w="389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both"/>
              <w:rPr>
                <w:sz w:val="22"/>
                <w:szCs w:val="22"/>
              </w:rPr>
            </w:pPr>
            <w:r>
              <w:rPr>
                <w:sz w:val="22"/>
                <w:szCs w:val="22"/>
              </w:rPr>
              <w:t xml:space="preserve">Within 30 days after conclusion of the contract (if requested by the awarded tenderer). </w:t>
            </w:r>
          </w:p>
        </w:tc>
      </w:tr>
      <w:tr>
        <w:trPr/>
        <w:tc>
          <w:tcPr>
            <w:tcW w:w="53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both"/>
              <w:rPr>
                <w:sz w:val="22"/>
                <w:szCs w:val="22"/>
              </w:rPr>
            </w:pPr>
            <w:r>
              <w:rPr>
                <w:sz w:val="22"/>
                <w:szCs w:val="22"/>
              </w:rPr>
              <w:t>2.</w:t>
            </w:r>
          </w:p>
        </w:tc>
        <w:tc>
          <w:tcPr>
            <w:tcW w:w="127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sz w:val="22"/>
                <w:szCs w:val="22"/>
              </w:rPr>
            </w:pPr>
            <w:r>
              <w:rPr>
                <w:sz w:val="22"/>
                <w:szCs w:val="22"/>
                <w:lang w:val="en-US"/>
              </w:rPr>
              <w:t>40</w:t>
            </w:r>
            <w:r>
              <w:rPr>
                <w:sz w:val="22"/>
                <w:szCs w:val="22"/>
              </w:rPr>
              <w:t>%</w:t>
            </w:r>
          </w:p>
        </w:tc>
        <w:tc>
          <w:tcPr>
            <w:tcW w:w="255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both"/>
              <w:rPr>
                <w:sz w:val="22"/>
                <w:szCs w:val="22"/>
              </w:rPr>
            </w:pPr>
            <w:r>
              <w:rPr>
                <w:sz w:val="22"/>
                <w:szCs w:val="22"/>
              </w:rPr>
              <w:t>Interim payment of Article 50</w:t>
            </w:r>
          </w:p>
        </w:tc>
        <w:tc>
          <w:tcPr>
            <w:tcW w:w="389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both"/>
              <w:rPr>
                <w:sz w:val="22"/>
                <w:szCs w:val="22"/>
              </w:rPr>
            </w:pPr>
            <w:r>
              <w:rPr>
                <w:sz w:val="22"/>
                <w:szCs w:val="22"/>
              </w:rPr>
              <w:t xml:space="preserve">After completion of </w:t>
            </w:r>
            <w:r>
              <w:rPr>
                <w:sz w:val="22"/>
                <w:szCs w:val="22"/>
                <w:lang w:val="en-US"/>
              </w:rPr>
              <w:t>50</w:t>
            </w:r>
            <w:r>
              <w:rPr>
                <w:sz w:val="22"/>
                <w:szCs w:val="22"/>
                <w:lang w:val="bg-BG"/>
              </w:rPr>
              <w:t>%</w:t>
            </w:r>
            <w:r>
              <w:rPr>
                <w:sz w:val="22"/>
                <w:szCs w:val="22"/>
              </w:rPr>
              <w:t xml:space="preserve"> of the firm quantities for which the Contractor submitted its all-in price.</w:t>
            </w:r>
          </w:p>
          <w:p>
            <w:pPr>
              <w:pStyle w:val="Normal"/>
              <w:spacing w:before="120" w:after="120"/>
              <w:jc w:val="both"/>
              <w:rPr>
                <w:sz w:val="22"/>
                <w:szCs w:val="22"/>
              </w:rPr>
            </w:pPr>
            <w:r>
              <w:rPr>
                <w:sz w:val="22"/>
                <w:szCs w:val="22"/>
              </w:rPr>
              <w:t>Within 90 days due under each of the interim payment certificates approved by the supervisor.</w:t>
            </w:r>
          </w:p>
        </w:tc>
      </w:tr>
      <w:tr>
        <w:trPr/>
        <w:tc>
          <w:tcPr>
            <w:tcW w:w="53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both"/>
              <w:rPr>
                <w:sz w:val="22"/>
                <w:szCs w:val="22"/>
              </w:rPr>
            </w:pPr>
            <w:r>
              <w:rPr>
                <w:sz w:val="22"/>
                <w:szCs w:val="22"/>
              </w:rPr>
              <w:t>3.</w:t>
            </w:r>
          </w:p>
        </w:tc>
        <w:tc>
          <w:tcPr>
            <w:tcW w:w="127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sz w:val="22"/>
                <w:szCs w:val="22"/>
              </w:rPr>
            </w:pPr>
            <w:r>
              <w:rPr>
                <w:sz w:val="22"/>
                <w:szCs w:val="22"/>
                <w:lang w:val="en-US"/>
              </w:rPr>
              <w:t>40%</w:t>
            </w:r>
          </w:p>
        </w:tc>
        <w:tc>
          <w:tcPr>
            <w:tcW w:w="255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both"/>
              <w:rPr>
                <w:sz w:val="22"/>
                <w:szCs w:val="22"/>
              </w:rPr>
            </w:pPr>
            <w:r>
              <w:rPr>
                <w:rFonts w:eastAsia="Calibri"/>
                <w:sz w:val="22"/>
                <w:szCs w:val="22"/>
              </w:rPr>
              <w:t xml:space="preserve">Interim payment </w:t>
            </w:r>
            <w:r>
              <w:rPr>
                <w:sz w:val="22"/>
                <w:szCs w:val="22"/>
              </w:rPr>
              <w:t>of Article 50</w:t>
            </w:r>
          </w:p>
        </w:tc>
        <w:tc>
          <w:tcPr>
            <w:tcW w:w="389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both"/>
              <w:rPr>
                <w:sz w:val="22"/>
                <w:szCs w:val="22"/>
              </w:rPr>
            </w:pPr>
            <w:r>
              <w:rPr>
                <w:sz w:val="22"/>
                <w:szCs w:val="22"/>
              </w:rPr>
              <w:t xml:space="preserve">After completion of </w:t>
            </w:r>
            <w:r>
              <w:rPr>
                <w:sz w:val="22"/>
                <w:szCs w:val="22"/>
                <w:lang w:val="en-US"/>
              </w:rPr>
              <w:t>90</w:t>
            </w:r>
            <w:r>
              <w:rPr>
                <w:sz w:val="22"/>
                <w:szCs w:val="22"/>
                <w:lang w:val="bg-BG"/>
              </w:rPr>
              <w:t>%</w:t>
            </w:r>
            <w:r>
              <w:rPr>
                <w:sz w:val="22"/>
                <w:szCs w:val="22"/>
              </w:rPr>
              <w:t xml:space="preserve"> of the firm quantities for which the Contractor submitted its all-in price.</w:t>
            </w:r>
          </w:p>
          <w:p>
            <w:pPr>
              <w:pStyle w:val="Normal"/>
              <w:spacing w:before="120" w:after="120"/>
              <w:jc w:val="both"/>
              <w:rPr>
                <w:sz w:val="22"/>
                <w:szCs w:val="22"/>
              </w:rPr>
            </w:pPr>
            <w:r>
              <w:rPr>
                <w:sz w:val="22"/>
                <w:szCs w:val="22"/>
              </w:rPr>
              <w:t>Within 90 days due under each of the interim payment certificates approved by the supervisor.</w:t>
            </w:r>
          </w:p>
        </w:tc>
      </w:tr>
      <w:tr>
        <w:trPr/>
        <w:tc>
          <w:tcPr>
            <w:tcW w:w="53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both"/>
              <w:rPr>
                <w:sz w:val="22"/>
                <w:szCs w:val="22"/>
              </w:rPr>
            </w:pPr>
            <w:r>
              <w:rPr>
                <w:sz w:val="22"/>
                <w:szCs w:val="22"/>
              </w:rPr>
              <w:t>4.</w:t>
            </w:r>
          </w:p>
        </w:tc>
        <w:tc>
          <w:tcPr>
            <w:tcW w:w="127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sz w:val="22"/>
                <w:szCs w:val="22"/>
              </w:rPr>
            </w:pPr>
            <w:r>
              <w:rPr>
                <w:sz w:val="22"/>
                <w:szCs w:val="22"/>
              </w:rPr>
              <w:t>10%</w:t>
            </w:r>
          </w:p>
        </w:tc>
        <w:tc>
          <w:tcPr>
            <w:tcW w:w="255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both"/>
              <w:rPr>
                <w:sz w:val="22"/>
                <w:szCs w:val="22"/>
              </w:rPr>
            </w:pPr>
            <w:r>
              <w:rPr>
                <w:sz w:val="22"/>
                <w:szCs w:val="22"/>
              </w:rPr>
              <w:t xml:space="preserve">Final/Balance payment </w:t>
            </w:r>
          </w:p>
        </w:tc>
        <w:tc>
          <w:tcPr>
            <w:tcW w:w="389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both"/>
              <w:rPr>
                <w:sz w:val="22"/>
                <w:szCs w:val="22"/>
              </w:rPr>
            </w:pPr>
            <w:r>
              <w:rPr>
                <w:sz w:val="22"/>
                <w:szCs w:val="22"/>
              </w:rPr>
              <w:t>After provisional acceptance (technical reception). Within 45 days of the issuing of the signed Final statement of account (according to applicable national legislation for construction works).</w:t>
            </w:r>
          </w:p>
        </w:tc>
      </w:tr>
    </w:tbl>
    <w:p>
      <w:pPr>
        <w:pStyle w:val="Normal"/>
        <w:spacing w:before="240" w:after="0"/>
        <w:ind w:hanging="1276" w:left="1276" w:right="239"/>
        <w:jc w:val="both"/>
        <w:rPr>
          <w:b/>
          <w:szCs w:val="24"/>
        </w:rPr>
      </w:pPr>
      <w:bookmarkStart w:id="39" w:name="_Toc76894443"/>
      <w:r>
        <w:rPr>
          <w:b/>
          <w:szCs w:val="24"/>
        </w:rPr>
        <w:t>Article 50</w:t>
        <w:tab/>
        <w:t>Interim payments</w:t>
      </w:r>
      <w:bookmarkEnd w:id="39"/>
    </w:p>
    <w:p>
      <w:pPr>
        <w:pStyle w:val="Normal"/>
        <w:spacing w:before="120" w:after="120"/>
        <w:ind w:hanging="709" w:left="1276"/>
        <w:jc w:val="both"/>
        <w:rPr>
          <w:bCs/>
          <w:sz w:val="22"/>
          <w:szCs w:val="22"/>
        </w:rPr>
      </w:pPr>
      <w:bookmarkStart w:id="40" w:name="_Toc76894444"/>
      <w:r>
        <w:rPr>
          <w:bCs/>
          <w:sz w:val="22"/>
          <w:szCs w:val="22"/>
        </w:rPr>
        <w:t>50.7</w:t>
      </w:r>
      <w:r>
        <w:rPr>
          <w:sz w:val="22"/>
          <w:szCs w:val="22"/>
        </w:rPr>
        <w:tab/>
      </w:r>
      <w:r>
        <w:rPr>
          <w:bCs/>
          <w:sz w:val="22"/>
          <w:szCs w:val="22"/>
        </w:rPr>
        <w:t>The interim payments will be paid as determined in Article 49.1 of these special conditions.</w:t>
      </w:r>
    </w:p>
    <w:p>
      <w:pPr>
        <w:pStyle w:val="Normal"/>
        <w:spacing w:before="240" w:after="0"/>
        <w:ind w:hanging="1276" w:left="1276" w:right="239"/>
        <w:jc w:val="both"/>
        <w:rPr>
          <w:b/>
          <w:szCs w:val="24"/>
        </w:rPr>
      </w:pPr>
      <w:bookmarkStart w:id="41" w:name="_Toc76894444"/>
      <w:r>
        <w:rPr>
          <w:b/>
          <w:szCs w:val="24"/>
        </w:rPr>
        <w:t>Article 51</w:t>
        <w:tab/>
        <w:t>Final statement of account</w:t>
      </w:r>
      <w:bookmarkEnd w:id="41"/>
    </w:p>
    <w:p>
      <w:pPr>
        <w:pStyle w:val="Text1"/>
        <w:ind w:hanging="709" w:left="1276" w:right="239"/>
        <w:rPr>
          <w:sz w:val="22"/>
          <w:szCs w:val="22"/>
          <w:lang w:eastAsia="en-GB"/>
        </w:rPr>
      </w:pPr>
      <w:r>
        <w:rPr>
          <w:sz w:val="22"/>
          <w:szCs w:val="22"/>
          <w:lang w:eastAsia="en-GB"/>
        </w:rPr>
        <w:t>51.1</w:t>
        <w:tab/>
        <w:t>The contractor shall, submit to the supervisor a draft final statement of account when it applies for the final acceptance certificate. In order to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pPr>
        <w:pStyle w:val="Normal"/>
        <w:ind w:hanging="709" w:left="1276" w:right="239"/>
        <w:jc w:val="both"/>
        <w:rPr>
          <w:sz w:val="22"/>
          <w:szCs w:val="22"/>
        </w:rPr>
      </w:pPr>
      <w:r>
        <w:rPr>
          <w:sz w:val="22"/>
          <w:szCs w:val="22"/>
          <w:lang w:eastAsia="en-GB"/>
        </w:rPr>
        <w:t>51.2</w:t>
        <w:tab/>
        <w:t>Within 30 days from issuing the final acceptance certificate referred to in Article 62, the supervisor shall prepare and signed the final statement of account.</w:t>
      </w:r>
    </w:p>
    <w:p>
      <w:pPr>
        <w:pStyle w:val="Normal"/>
        <w:spacing w:before="240" w:after="0"/>
        <w:ind w:hanging="1276" w:left="1276" w:right="239"/>
        <w:jc w:val="both"/>
        <w:rPr>
          <w:b/>
          <w:szCs w:val="24"/>
        </w:rPr>
      </w:pPr>
      <w:bookmarkStart w:id="42" w:name="_Toc76894445"/>
      <w:r>
        <w:rPr>
          <w:b/>
          <w:szCs w:val="24"/>
        </w:rPr>
        <w:t>Article 53</w:t>
        <w:tab/>
        <w:t>Delayed payments</w:t>
      </w:r>
      <w:bookmarkEnd w:id="42"/>
    </w:p>
    <w:p>
      <w:pPr>
        <w:pStyle w:val="Normal"/>
        <w:spacing w:before="120" w:after="120"/>
        <w:ind w:hanging="709" w:left="1276" w:right="239"/>
        <w:jc w:val="both"/>
        <w:rPr/>
      </w:pPr>
      <w:r>
        <w:rPr>
          <w:bCs/>
          <w:sz w:val="22"/>
          <w:szCs w:val="22"/>
        </w:rPr>
        <w:t>53.1</w:t>
        <w:tab/>
        <w:t>By derogation from Article 53.1 of the general conditions, once the time-limit referred Article 44.3 has expired, the contractor shall be entitled to late-payment interest at the rate and for the period mentioned in the general conditions.</w:t>
      </w:r>
      <w:r>
        <w:rPr/>
        <w:t xml:space="preserve"> </w:t>
      </w:r>
    </w:p>
    <w:p>
      <w:pPr>
        <w:pStyle w:val="Normal"/>
        <w:spacing w:before="120" w:after="120"/>
        <w:ind w:left="1276" w:right="239"/>
        <w:jc w:val="both"/>
        <w:rPr>
          <w:szCs w:val="22"/>
        </w:rPr>
      </w:pPr>
      <w:r>
        <w:rPr>
          <w:sz w:val="22"/>
          <w:szCs w:val="22"/>
        </w:rPr>
        <w:t>However, when the interest calculated in accordance with the first subparagraph is lower than or equal to EUR 200, it shall be paid to the creditor only upon a demand submitted within two months of receiving late payment.</w:t>
      </w:r>
    </w:p>
    <w:p>
      <w:pPr>
        <w:pStyle w:val="Normal"/>
        <w:spacing w:before="240" w:after="0"/>
        <w:ind w:hanging="1276" w:left="1276" w:right="239"/>
        <w:jc w:val="both"/>
        <w:rPr>
          <w:b/>
          <w:szCs w:val="24"/>
        </w:rPr>
      </w:pPr>
      <w:bookmarkStart w:id="43" w:name="_Toc76894447"/>
      <w:r>
        <w:rPr>
          <w:b/>
          <w:szCs w:val="24"/>
        </w:rPr>
        <w:t>Article 60</w:t>
        <w:tab/>
        <w:t>Provisional acceptance</w:t>
      </w:r>
      <w:bookmarkEnd w:id="43"/>
    </w:p>
    <w:p>
      <w:pPr>
        <w:pStyle w:val="Normal"/>
        <w:spacing w:before="120" w:after="0"/>
        <w:ind w:hanging="709" w:left="1276" w:right="239"/>
        <w:jc w:val="both"/>
        <w:rPr>
          <w:b/>
          <w:bCs/>
          <w:sz w:val="22"/>
          <w:szCs w:val="22"/>
        </w:rPr>
      </w:pPr>
      <w:r>
        <w:rPr>
          <w:sz w:val="22"/>
          <w:szCs w:val="22"/>
        </w:rPr>
        <w:t>60.1</w:t>
        <w:tab/>
        <w:t>In complement to Article 60.1 of the general conditions, the provisional acceptance shall be accompanied with the report prepared by the Supervisor.</w:t>
      </w:r>
    </w:p>
    <w:p>
      <w:pPr>
        <w:pStyle w:val="Normal"/>
        <w:spacing w:before="240" w:after="0"/>
        <w:ind w:hanging="1276" w:left="1276" w:right="239"/>
        <w:jc w:val="both"/>
        <w:rPr>
          <w:b/>
          <w:szCs w:val="24"/>
        </w:rPr>
      </w:pPr>
      <w:bookmarkStart w:id="44" w:name="_Toc76894448"/>
      <w:r>
        <w:rPr>
          <w:b/>
          <w:szCs w:val="24"/>
        </w:rPr>
        <w:t>Article 61</w:t>
        <w:tab/>
        <w:t>Defects liability</w:t>
      </w:r>
      <w:bookmarkEnd w:id="44"/>
    </w:p>
    <w:p>
      <w:pPr>
        <w:pStyle w:val="Normal"/>
        <w:spacing w:before="120" w:after="120"/>
        <w:ind w:hanging="709" w:left="1276"/>
        <w:jc w:val="both"/>
        <w:rPr>
          <w:sz w:val="22"/>
          <w:szCs w:val="22"/>
        </w:rPr>
      </w:pPr>
      <w:bookmarkStart w:id="45" w:name="_Toc76894451"/>
      <w:r>
        <w:rPr>
          <w:sz w:val="22"/>
          <w:szCs w:val="22"/>
        </w:rPr>
        <w:t>61.1</w:t>
        <w:tab/>
        <w:t xml:space="preserve">The defects liability period is defined as the period commencing on the date of provisional acceptance, during which the contractor is required to make good any effect in, or damage to, any part of the work which may appear or occur during this period as notify by the supervisor or the contracting authority. The rights and obligations of the parties with regard to this defects liability period are laid down in Article 61 of the general conditions. </w:t>
      </w:r>
    </w:p>
    <w:p>
      <w:pPr>
        <w:pStyle w:val="Normal"/>
        <w:spacing w:before="240" w:after="0"/>
        <w:ind w:hanging="1276" w:left="1276" w:right="239"/>
        <w:jc w:val="both"/>
        <w:rPr>
          <w:b/>
          <w:szCs w:val="24"/>
          <w:lang w:val="fr-FR"/>
        </w:rPr>
      </w:pPr>
      <w:bookmarkStart w:id="46" w:name="_Toc76894451"/>
      <w:r>
        <w:rPr>
          <w:b/>
          <w:szCs w:val="24"/>
          <w:lang w:val="fr-FR"/>
        </w:rPr>
        <w:t>Article 68</w:t>
        <w:tab/>
        <w:t>Dispute settlement</w:t>
      </w:r>
      <w:bookmarkEnd w:id="46"/>
    </w:p>
    <w:p>
      <w:pPr>
        <w:pStyle w:val="Normal"/>
        <w:spacing w:before="120" w:after="120"/>
        <w:ind w:hanging="709" w:left="1276"/>
        <w:jc w:val="both"/>
        <w:rPr>
          <w:sz w:val="22"/>
          <w:szCs w:val="22"/>
          <w:lang w:bidi="kn-IN"/>
        </w:rPr>
      </w:pPr>
      <w:r>
        <w:rPr>
          <w:rStyle w:val="DefaultMargins"/>
          <w:rFonts w:cs="Times New Roman"/>
          <w:bCs/>
          <w:spacing w:val="-3"/>
          <w:sz w:val="22"/>
          <w:szCs w:val="22"/>
          <w:lang w:val="fr-FR"/>
        </w:rPr>
        <w:t>68.4</w:t>
      </w:r>
      <w:r>
        <w:rPr>
          <w:rStyle w:val="DefaultMargins"/>
          <w:rFonts w:cs="Times New Roman"/>
          <w:spacing w:val="-3"/>
          <w:sz w:val="22"/>
          <w:szCs w:val="22"/>
          <w:lang w:val="fr-FR"/>
        </w:rPr>
        <w:tab/>
      </w:r>
      <w:r>
        <w:rPr>
          <w:sz w:val="22"/>
          <w:szCs w:val="22"/>
          <w:lang w:bidi="kn-IN"/>
        </w:rPr>
        <w:t xml:space="preserve">Any dispute arising out of or relating to this contract which cannot be settled otherwise shall be referred to the exclusive jurisdiction of the Basic Court </w:t>
      </w:r>
      <w:r>
        <w:rPr>
          <w:sz w:val="22"/>
          <w:szCs w:val="22"/>
          <w:lang w:val="en-US" w:bidi="kn-IN"/>
        </w:rPr>
        <w:t xml:space="preserve">Kriva Palanka </w:t>
      </w:r>
      <w:r>
        <w:rPr>
          <w:sz w:val="22"/>
          <w:szCs w:val="22"/>
          <w:lang w:bidi="kn-IN"/>
        </w:rPr>
        <w:t>in accordance with the national legislation of the state of the contracting authority.</w:t>
      </w:r>
    </w:p>
    <w:p>
      <w:pPr>
        <w:pStyle w:val="Normal"/>
        <w:spacing w:before="0" w:after="120"/>
        <w:ind w:hanging="357" w:left="1701" w:right="239"/>
        <w:jc w:val="both"/>
        <w:rPr>
          <w:sz w:val="22"/>
          <w:szCs w:val="22"/>
          <w:lang w:bidi="kn-IN"/>
        </w:rPr>
      </w:pPr>
      <w:r>
        <w:rPr>
          <w:sz w:val="22"/>
          <w:szCs w:val="22"/>
          <w:lang w:bidi="kn-IN"/>
        </w:rPr>
        <w:t>(a)</w:t>
        <w:tab/>
        <w:t>in the case of a national contract, be settled in accordance with the national legislation of the state of the contracting authority; and</w:t>
      </w:r>
    </w:p>
    <w:p>
      <w:pPr>
        <w:pStyle w:val="Normal"/>
        <w:spacing w:before="0" w:after="120"/>
        <w:ind w:hanging="357" w:left="1701" w:right="239"/>
        <w:jc w:val="both"/>
        <w:rPr>
          <w:sz w:val="22"/>
          <w:szCs w:val="22"/>
          <w:lang w:val="en-IE"/>
        </w:rPr>
      </w:pPr>
      <w:r>
        <w:rPr>
          <w:sz w:val="22"/>
          <w:szCs w:val="22"/>
          <w:lang w:bidi="kn-IN"/>
        </w:rPr>
        <w:t>(b)</w:t>
        <w:tab/>
        <w:t xml:space="preserve">in the case of a transnational contract, be settled by arbitration in accordance with the PRAG procedural rules on conciliation and arbitration, annexed to this contract. Should such rules have been amended by the time the arbitration </w:t>
      </w:r>
      <w:r>
        <w:rPr>
          <w:sz w:val="22"/>
          <w:szCs w:val="22"/>
          <w:lang w:val="en-IE"/>
        </w:rPr>
        <w:t>proceedings are initiated, the amended rules will apply.</w:t>
      </w:r>
    </w:p>
    <w:p>
      <w:pPr>
        <w:pStyle w:val="Normal"/>
        <w:keepNext w:val="true"/>
        <w:keepLines/>
        <w:tabs>
          <w:tab w:val="clear" w:pos="720"/>
          <w:tab w:val="left" w:pos="1134" w:leader="none"/>
        </w:tabs>
        <w:spacing w:before="240" w:after="0"/>
        <w:ind w:hanging="1134" w:left="1134"/>
        <w:rPr>
          <w:sz w:val="22"/>
          <w:szCs w:val="22"/>
        </w:rPr>
      </w:pPr>
      <w:r>
        <w:rPr>
          <w:b/>
          <w:szCs w:val="24"/>
        </w:rPr>
        <w:t>Article 72</w:t>
        <w:tab/>
        <w:t>Data protection</w:t>
      </w:r>
    </w:p>
    <w:p>
      <w:pPr>
        <w:pStyle w:val="Normal"/>
        <w:spacing w:before="120" w:after="0"/>
        <w:ind w:left="720"/>
        <w:jc w:val="both"/>
        <w:rPr>
          <w:sz w:val="22"/>
          <w:szCs w:val="22"/>
        </w:rPr>
      </w:pPr>
      <w:r>
        <w:rPr>
          <w:rStyle w:val="Hyperlink"/>
          <w:color w:val="auto"/>
          <w:sz w:val="22"/>
          <w:szCs w:val="22"/>
          <w:u w:val="none"/>
        </w:rPr>
        <w:t xml:space="preserve">For the purpose of </w:t>
      </w:r>
      <w:r>
        <w:rPr>
          <w:sz w:val="22"/>
          <w:szCs w:val="22"/>
        </w:rPr>
        <w:t>Article 72 of the general conditions, for the part of the data transferred by the contracting authority to the European Commission:</w:t>
      </w:r>
    </w:p>
    <w:p>
      <w:pPr>
        <w:pStyle w:val="Normal"/>
        <w:spacing w:before="120" w:after="0"/>
        <w:ind w:left="720"/>
        <w:jc w:val="both"/>
        <w:rPr/>
      </w:pPr>
      <w:r>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pPr>
        <w:pStyle w:val="Normal"/>
        <w:spacing w:before="120" w:after="0"/>
        <w:ind w:left="720"/>
        <w:jc w:val="both"/>
        <w:rPr/>
      </w:pPr>
      <w:r>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CVs/expert profiles)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w:t>
      </w:r>
      <w:r>
        <w:rPr>
          <w:sz w:val="22"/>
          <w:szCs w:val="22"/>
          <w:lang w:val="en-US"/>
        </w:rPr>
        <w:t xml:space="preserve">Valentina Dimitrovska, councilor for personnel data protection in Municipality of Kriva Palanka, </w:t>
      </w:r>
    </w:p>
    <w:p>
      <w:pPr>
        <w:pStyle w:val="Normal"/>
        <w:spacing w:before="360" w:after="0"/>
        <w:jc w:val="center"/>
        <w:rPr>
          <w:b/>
          <w:bCs/>
          <w:sz w:val="22"/>
          <w:szCs w:val="22"/>
        </w:rPr>
      </w:pPr>
      <w:r>
        <w:rPr>
          <w:sz w:val="22"/>
          <w:szCs w:val="22"/>
        </w:rPr>
        <w:t>* * *</w:t>
      </w:r>
    </w:p>
    <w:p>
      <w:pPr>
        <w:pStyle w:val="Normal"/>
        <w:keepNext w:val="true"/>
        <w:keepLines/>
        <w:tabs>
          <w:tab w:val="clear" w:pos="720"/>
          <w:tab w:val="left" w:pos="1134" w:leader="none"/>
        </w:tabs>
        <w:spacing w:before="240" w:after="120"/>
        <w:ind w:hanging="1134" w:left="1134"/>
        <w:rPr>
          <w:b/>
          <w:bCs/>
          <w:sz w:val="22"/>
          <w:szCs w:val="22"/>
        </w:rPr>
      </w:pPr>
      <w:r>
        <w:rPr>
          <w:b/>
          <w:bCs/>
          <w:sz w:val="22"/>
          <w:szCs w:val="22"/>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298" w:right="1298" w:gutter="0" w:header="720" w:top="1298" w:footer="720" w:bottom="1418"/>
      <w:pgNumType w:start="1"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swiss"/>
    <w:pitch w:val="variable"/>
  </w:font>
  <w:font w:name="Courier">
    <w:altName w:val="Courier New"/>
    <w:charset w:val="cc"/>
    <w:family w:val="roman"/>
    <w:pitch w:val="variable"/>
  </w:font>
  <w:font w:name="Liberation Sans">
    <w:altName w:val="Arial"/>
    <w:charset w:val="cc"/>
    <w:family w:val="swiss"/>
    <w:pitch w:val="variable"/>
  </w:font>
  <w:font w:name="Courier New">
    <w:charset w:val="cc"/>
    <w:family w:val="roman"/>
    <w:pitch w:val="variable"/>
  </w:font>
  <w:font w:name="Tahoma">
    <w:charset w:val="cc"/>
    <w:family w:val="swiss"/>
    <w:pitch w:val="variable"/>
  </w:font>
  <w:font w:name="Verdana">
    <w:charset w:val="cc"/>
    <w:family w:val="swiss"/>
    <w:pitch w:val="variable"/>
  </w:font>
  <w:font w:name="Optima">
    <w:charset w:val="cc"/>
    <w:family w:val="swiss"/>
    <w:pitch w:val="variable"/>
  </w:font>
  <w:font w:name="Calibri">
    <w:charset w:val="cc"/>
    <w:family w:val="swiss"/>
    <w:pitch w:val="variable"/>
  </w:font>
  <w:font w:name="Times New Roman Bold">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right="36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Square wrapText="bothSides"/>
              <wp:docPr id="1" name="Fram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Foot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Foot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320"/>
        <w:tab w:val="clear" w:pos="8640"/>
        <w:tab w:val="right" w:pos="9214" w:leader="none"/>
      </w:tabs>
      <w:ind w:right="5"/>
      <w:rPr>
        <w:rStyle w:val="PageNumber"/>
        <w:sz w:val="18"/>
        <w:szCs w:val="18"/>
      </w:rPr>
    </w:pPr>
    <w:r>
      <w:rPr>
        <w:b/>
        <w:sz w:val="18"/>
      </w:rPr>
      <w:t>2025</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8</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8</w:t>
    </w:r>
    <w:r>
      <w:rPr>
        <w:rStyle w:val="PageNumber"/>
        <w:sz w:val="18"/>
        <w:szCs w:val="18"/>
      </w:rPr>
      <w:fldChar w:fldCharType="end"/>
    </w:r>
  </w:p>
  <w:p>
    <w:pPr>
      <w:pStyle w:val="Normal"/>
      <w:rPr>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d4o_specialconditions_en.docx</w:t>
    </w:r>
    <w:r>
      <w:rPr>
        <w:sz w:val="18"/>
        <w:szCs w:val="18"/>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320"/>
        <w:tab w:val="clear" w:pos="8640"/>
        <w:tab w:val="right" w:pos="9214" w:leader="none"/>
      </w:tabs>
      <w:ind w:right="5"/>
      <w:rPr>
        <w:rStyle w:val="PageNumber"/>
        <w:sz w:val="18"/>
        <w:szCs w:val="18"/>
      </w:rPr>
    </w:pPr>
    <w:r>
      <w:rPr>
        <w:b/>
        <w:sz w:val="18"/>
      </w:rPr>
      <w:t>2025</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8</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8</w:t>
    </w:r>
    <w:r>
      <w:rPr>
        <w:rStyle w:val="PageNumber"/>
        <w:sz w:val="18"/>
        <w:szCs w:val="18"/>
      </w:rPr>
      <w:fldChar w:fldCharType="end"/>
    </w:r>
  </w:p>
  <w:p>
    <w:pPr>
      <w:pStyle w:val="Normal"/>
      <w:rPr>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d4o_specialconditions_en.docx</w:t>
    </w:r>
    <w:r>
      <w:rPr>
        <w:sz w:val="18"/>
        <w:szCs w:val="18"/>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Letter"/>
      <w:lvlText w:val="%1."/>
      <w:lvlJc w:val="left"/>
      <w:pPr>
        <w:tabs>
          <w:tab w:val="num" w:pos="360"/>
        </w:tabs>
        <w:ind w:left="3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decimal"/>
      <w:lvlText w:val="%1"/>
      <w:lvlJc w:val="left"/>
      <w:pPr>
        <w:tabs>
          <w:tab w:val="num" w:pos="435"/>
        </w:tabs>
        <w:ind w:left="435" w:hanging="435"/>
      </w:pPr>
      <w:rPr/>
    </w:lvl>
    <w:lvl w:ilvl="1">
      <w:start w:val="1"/>
      <w:numFmt w:val="none"/>
      <w:suff w:val="nothing"/>
      <w:lvlText w:val=""/>
      <w:lvlJc w:val="left"/>
      <w:pPr>
        <w:tabs>
          <w:tab w:val="num" w:pos="1319"/>
        </w:tabs>
        <w:ind w:left="1319" w:hanging="435"/>
      </w:pPr>
      <w:rPr/>
    </w:lvl>
    <w:lvl w:ilvl="2">
      <w:start w:val="1"/>
      <w:numFmt w:val="none"/>
      <w:suff w:val="nothing"/>
      <w:lvlText w:val=""/>
      <w:lvlJc w:val="left"/>
      <w:pPr>
        <w:tabs>
          <w:tab w:val="num" w:pos="2488"/>
        </w:tabs>
        <w:ind w:left="2488" w:hanging="720"/>
      </w:pPr>
      <w:rPr/>
    </w:lvl>
    <w:lvl w:ilvl="3">
      <w:start w:val="1"/>
      <w:isLgl/>
      <w:numFmt w:val="none"/>
      <w:suff w:val="nothing"/>
      <w:lvlText w:val="13"/>
      <w:lvlJc w:val="left"/>
      <w:pPr>
        <w:tabs>
          <w:tab w:val="num" w:pos="360"/>
        </w:tabs>
        <w:ind w:left="0" w:hanging="0"/>
      </w:pPr>
      <w:rPr/>
    </w:lvl>
    <w:lvl w:ilvl="4">
      <w:start w:val="1"/>
      <w:isLgl/>
      <w:numFmt w:val="none"/>
      <w:suff w:val="nothing"/>
      <w:lvlText w:val=""/>
      <w:lvlJc w:val="left"/>
      <w:pPr>
        <w:tabs>
          <w:tab w:val="num" w:pos="4616"/>
        </w:tabs>
        <w:ind w:left="4616" w:hanging="1080"/>
      </w:pPr>
      <w:rPr/>
    </w:lvl>
    <w:lvl w:ilvl="5">
      <w:start w:val="1"/>
      <w:numFmt w:val="none"/>
      <w:suff w:val="nothing"/>
      <w:lvlText w:val=""/>
      <w:lvlJc w:val="left"/>
      <w:pPr>
        <w:tabs>
          <w:tab w:val="num" w:pos="5500"/>
        </w:tabs>
        <w:ind w:left="5500" w:hanging="1080"/>
      </w:pPr>
      <w:rPr/>
    </w:lvl>
    <w:lvl w:ilvl="6">
      <w:start w:val="1"/>
      <w:numFmt w:val="none"/>
      <w:suff w:val="nothing"/>
      <w:lvlText w:val=""/>
      <w:lvlJc w:val="left"/>
      <w:pPr>
        <w:tabs>
          <w:tab w:val="num" w:pos="6744"/>
        </w:tabs>
        <w:ind w:left="6744" w:hanging="1440"/>
      </w:pPr>
      <w:rPr/>
    </w:lvl>
    <w:lvl w:ilvl="7">
      <w:start w:val="1"/>
      <w:numFmt w:val="decimal"/>
      <w:lvlText w:val="%1.%2%3%4%5%6%7%8"/>
      <w:lvlJc w:val="left"/>
      <w:pPr>
        <w:tabs>
          <w:tab w:val="num" w:pos="7988"/>
        </w:tabs>
        <w:ind w:left="7628" w:hanging="1440"/>
      </w:pPr>
      <w:rPr/>
    </w:lvl>
    <w:lvl w:ilvl="8">
      <w:start w:val="1"/>
      <w:numFmt w:val="decimal"/>
      <w:lvlText w:val="%1.%2%3%4%5%6%7%8.%9"/>
      <w:lvlJc w:val="left"/>
      <w:pPr>
        <w:tabs>
          <w:tab w:val="num" w:pos="8872"/>
        </w:tabs>
        <w:ind w:left="8872" w:hanging="1800"/>
      </w:pPr>
      <w:rPr/>
    </w:lvl>
  </w:abstractNum>
  <w:abstractNum w:abstractNumId="3">
    <w:lvl w:ilvl="0">
      <w:start w:val="1"/>
      <w:numFmt w:val="lowerLetter"/>
      <w:lvlText w:val="(%1)"/>
      <w:lvlJc w:val="left"/>
      <w:pPr>
        <w:tabs>
          <w:tab w:val="num" w:pos="1134"/>
        </w:tabs>
        <w:ind w:left="1701" w:hanging="567"/>
      </w:pPr>
      <w:rPr>
        <w:sz w:val="22"/>
        <w:i w:val="false"/>
        <w:b w:val="false"/>
        <w:rFonts w:ascii="Times New Roman Bold" w:hAnsi="Times New Roman Bold"/>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709"/>
        </w:tabs>
        <w:ind w:left="709" w:hanging="709"/>
      </w:pPr>
      <w:rPr/>
    </w:lvl>
    <w:lvl w:ilvl="1">
      <w:start w:val="1"/>
      <w:numFmt w:val="lowerLetter"/>
      <w:lvlText w:val="(%2)"/>
      <w:lvlJc w:val="left"/>
      <w:pPr>
        <w:tabs>
          <w:tab w:val="num" w:pos="1417"/>
        </w:tabs>
        <w:ind w:left="1417" w:hanging="708"/>
      </w:pPr>
      <w:r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rPr/>
    </w:lvl>
    <w:lvl w:ilvl="5">
      <w:start w:val="1"/>
      <w:numFmt w:val="lowerRoman"/>
      <w:lvlText w:val="(%6)"/>
      <w:lvlJc w:val="left"/>
      <w:pPr>
        <w:tabs>
          <w:tab w:val="num" w:pos="2160"/>
        </w:tabs>
        <w:ind w:left="2160" w:hanging="360"/>
      </w:pPr>
      <w:rPr/>
    </w:lvl>
    <w:lvl w:ilvl="6">
      <w:start w:val="1"/>
      <w:numFmt w:val="decimal"/>
      <w:lvlText w:val="%7."/>
      <w:lvlJc w:val="left"/>
      <w:pPr>
        <w:tabs>
          <w:tab w:val="num" w:pos="2520"/>
        </w:tabs>
        <w:ind w:left="2520" w:hanging="360"/>
      </w:pPr>
      <w:rPr/>
    </w:lvl>
    <w:lvl w:ilvl="7">
      <w:start w:val="1"/>
      <w:numFmt w:val="lowerLetter"/>
      <w:lvlText w:val="%8."/>
      <w:lvlJc w:val="left"/>
      <w:pPr>
        <w:tabs>
          <w:tab w:val="num" w:pos="2880"/>
        </w:tabs>
        <w:ind w:left="2880" w:hanging="360"/>
      </w:pPr>
      <w:rPr/>
    </w:lvl>
    <w:lvl w:ilvl="8">
      <w:start w:val="1"/>
      <w:numFmt w:val="lowerRoman"/>
      <w:lvlText w:val="%9."/>
      <w:lvlJc w:val="left"/>
      <w:pPr>
        <w:tabs>
          <w:tab w:val="num" w:pos="3240"/>
        </w:tabs>
        <w:ind w:left="3240" w:hanging="360"/>
      </w:pPr>
      <w:rPr/>
    </w:lvl>
  </w:abstractNum>
  <w:abstractNum w:abstractNumId="15">
    <w:lvl w:ilvl="0">
      <w:start w:val="1"/>
      <w:numFmt w:val="decimal"/>
      <w:lvlText w:val="(%1)"/>
      <w:lvlJc w:val="left"/>
      <w:pPr>
        <w:tabs>
          <w:tab w:val="num" w:pos="1191"/>
        </w:tabs>
        <w:ind w:left="1191" w:hanging="709"/>
      </w:pPr>
      <w:rPr/>
    </w:lvl>
    <w:lvl w:ilvl="1">
      <w:start w:val="1"/>
      <w:numFmt w:val="lowerLetter"/>
      <w:lvlText w:val="(%2)"/>
      <w:lvlJc w:val="left"/>
      <w:pPr>
        <w:tabs>
          <w:tab w:val="num" w:pos="1899"/>
        </w:tabs>
        <w:ind w:left="1899" w:hanging="708"/>
      </w:pPr>
      <w:rPr/>
    </w:lvl>
    <w:lvl w:ilvl="2">
      <w:start w:val="1"/>
      <w:numFmt w:val="bullet"/>
      <w:lvlText w:val="–"/>
      <w:lvlJc w:val="left"/>
      <w:pPr>
        <w:tabs>
          <w:tab w:val="num" w:pos="2608"/>
        </w:tabs>
        <w:ind w:left="2608" w:hanging="709"/>
      </w:pPr>
      <w:rPr>
        <w:rFonts w:ascii="Times New Roman" w:hAnsi="Times New Roman" w:cs="Times New Roman" w:hint="default"/>
      </w:rPr>
    </w:lvl>
    <w:lvl w:ilvl="3">
      <w:start w:val="1"/>
      <w:numFmt w:val="bullet"/>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rPr/>
    </w:lvl>
    <w:lvl w:ilvl="5">
      <w:start w:val="1"/>
      <w:numFmt w:val="lowerRoman"/>
      <w:lvlText w:val="(%6)"/>
      <w:lvlJc w:val="left"/>
      <w:pPr>
        <w:tabs>
          <w:tab w:val="num" w:pos="2160"/>
        </w:tabs>
        <w:ind w:left="2160" w:hanging="360"/>
      </w:pPr>
      <w:rPr/>
    </w:lvl>
    <w:lvl w:ilvl="6">
      <w:start w:val="1"/>
      <w:numFmt w:val="decimal"/>
      <w:lvlText w:val="%7."/>
      <w:lvlJc w:val="left"/>
      <w:pPr>
        <w:tabs>
          <w:tab w:val="num" w:pos="2520"/>
        </w:tabs>
        <w:ind w:left="2520" w:hanging="360"/>
      </w:pPr>
      <w:rPr/>
    </w:lvl>
    <w:lvl w:ilvl="7">
      <w:start w:val="1"/>
      <w:numFmt w:val="lowerLetter"/>
      <w:lvlText w:val="%8."/>
      <w:lvlJc w:val="left"/>
      <w:pPr>
        <w:tabs>
          <w:tab w:val="num" w:pos="2880"/>
        </w:tabs>
        <w:ind w:left="2880" w:hanging="360"/>
      </w:pPr>
      <w:rPr/>
    </w:lvl>
    <w:lvl w:ilvl="8">
      <w:start w:val="1"/>
      <w:numFmt w:val="lowerRoman"/>
      <w:lvlText w:val="%9."/>
      <w:lvlJc w:val="left"/>
      <w:pPr>
        <w:tabs>
          <w:tab w:val="num" w:pos="3240"/>
        </w:tabs>
        <w:ind w:left="3240" w:hanging="360"/>
      </w:pPr>
      <w:rPr/>
    </w:lvl>
  </w:abstractNum>
  <w:abstractNum w:abstractNumId="16">
    <w:lvl w:ilvl="0">
      <w:start w:val="1"/>
      <w:numFmt w:val="decimal"/>
      <w:lvlText w:val="(%1)"/>
      <w:lvlJc w:val="left"/>
      <w:pPr>
        <w:tabs>
          <w:tab w:val="num" w:pos="1911"/>
        </w:tabs>
        <w:ind w:left="1911" w:hanging="709"/>
      </w:pPr>
      <w:rPr/>
    </w:lvl>
    <w:lvl w:ilvl="1">
      <w:start w:val="1"/>
      <w:numFmt w:val="lowerLetter"/>
      <w:lvlText w:val="(%2)"/>
      <w:lvlJc w:val="left"/>
      <w:pPr>
        <w:tabs>
          <w:tab w:val="num" w:pos="2619"/>
        </w:tabs>
        <w:ind w:left="2619" w:hanging="708"/>
      </w:pPr>
      <w:r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rPr/>
    </w:lvl>
    <w:lvl w:ilvl="5">
      <w:start w:val="1"/>
      <w:numFmt w:val="lowerRoman"/>
      <w:lvlText w:val="(%6)"/>
      <w:lvlJc w:val="left"/>
      <w:pPr>
        <w:tabs>
          <w:tab w:val="num" w:pos="2160"/>
        </w:tabs>
        <w:ind w:left="2160" w:hanging="360"/>
      </w:pPr>
      <w:rPr/>
    </w:lvl>
    <w:lvl w:ilvl="6">
      <w:start w:val="1"/>
      <w:numFmt w:val="decimal"/>
      <w:lvlText w:val="%7."/>
      <w:lvlJc w:val="left"/>
      <w:pPr>
        <w:tabs>
          <w:tab w:val="num" w:pos="2520"/>
        </w:tabs>
        <w:ind w:left="2520" w:hanging="360"/>
      </w:pPr>
      <w:rPr/>
    </w:lvl>
    <w:lvl w:ilvl="7">
      <w:start w:val="1"/>
      <w:numFmt w:val="lowerLetter"/>
      <w:lvlText w:val="%8."/>
      <w:lvlJc w:val="left"/>
      <w:pPr>
        <w:tabs>
          <w:tab w:val="num" w:pos="2880"/>
        </w:tabs>
        <w:ind w:left="2880" w:hanging="360"/>
      </w:pPr>
      <w:rPr/>
    </w:lvl>
    <w:lvl w:ilvl="8">
      <w:start w:val="1"/>
      <w:numFmt w:val="lowerRoman"/>
      <w:lvlText w:val="%9."/>
      <w:lvlJc w:val="left"/>
      <w:pPr>
        <w:tabs>
          <w:tab w:val="num" w:pos="3240"/>
        </w:tabs>
        <w:ind w:left="3240" w:hanging="360"/>
      </w:pPr>
      <w:rPr/>
    </w:lvl>
  </w:abstractNum>
  <w:abstractNum w:abstractNumId="17">
    <w:lvl w:ilvl="0">
      <w:start w:val="1"/>
      <w:numFmt w:val="decimal"/>
      <w:lvlText w:val="(%1)"/>
      <w:lvlJc w:val="left"/>
      <w:pPr>
        <w:tabs>
          <w:tab w:val="num" w:pos="1911"/>
        </w:tabs>
        <w:ind w:left="1911" w:hanging="709"/>
      </w:pPr>
      <w:rPr/>
    </w:lvl>
    <w:lvl w:ilvl="1">
      <w:start w:val="1"/>
      <w:numFmt w:val="lowerLetter"/>
      <w:lvlText w:val="(%2)"/>
      <w:lvlJc w:val="left"/>
      <w:pPr>
        <w:tabs>
          <w:tab w:val="num" w:pos="2619"/>
        </w:tabs>
        <w:ind w:left="2619" w:hanging="708"/>
      </w:pPr>
      <w:r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rPr/>
    </w:lvl>
    <w:lvl w:ilvl="5">
      <w:start w:val="1"/>
      <w:numFmt w:val="lowerRoman"/>
      <w:lvlText w:val="(%6)"/>
      <w:lvlJc w:val="left"/>
      <w:pPr>
        <w:tabs>
          <w:tab w:val="num" w:pos="2160"/>
        </w:tabs>
        <w:ind w:left="2160" w:hanging="360"/>
      </w:pPr>
      <w:rPr/>
    </w:lvl>
    <w:lvl w:ilvl="6">
      <w:start w:val="1"/>
      <w:numFmt w:val="decimal"/>
      <w:lvlText w:val="%7."/>
      <w:lvlJc w:val="left"/>
      <w:pPr>
        <w:tabs>
          <w:tab w:val="num" w:pos="2520"/>
        </w:tabs>
        <w:ind w:left="2520" w:hanging="360"/>
      </w:pPr>
      <w:rPr/>
    </w:lvl>
    <w:lvl w:ilvl="7">
      <w:start w:val="1"/>
      <w:numFmt w:val="lowerLetter"/>
      <w:lvlText w:val="%8."/>
      <w:lvlJc w:val="left"/>
      <w:pPr>
        <w:tabs>
          <w:tab w:val="num" w:pos="2880"/>
        </w:tabs>
        <w:ind w:left="2880" w:hanging="360"/>
      </w:pPr>
      <w:rPr/>
    </w:lvl>
    <w:lvl w:ilvl="8">
      <w:start w:val="1"/>
      <w:numFmt w:val="lowerRoman"/>
      <w:lvlText w:val="%9."/>
      <w:lvlJc w:val="left"/>
      <w:pPr>
        <w:tabs>
          <w:tab w:val="num" w:pos="3240"/>
        </w:tabs>
        <w:ind w:left="3240" w:hanging="360"/>
      </w:pPr>
      <w:rPr/>
    </w:lvl>
  </w:abstractNum>
  <w:abstractNum w:abstractNumId="18">
    <w:lvl w:ilvl="0">
      <w:start w:val="1"/>
      <w:numFmt w:val="decimal"/>
      <w:lvlText w:val="(%1)"/>
      <w:lvlJc w:val="left"/>
      <w:pPr>
        <w:tabs>
          <w:tab w:val="num" w:pos="1911"/>
        </w:tabs>
        <w:ind w:left="1911" w:hanging="709"/>
      </w:pPr>
      <w:rPr/>
    </w:lvl>
    <w:lvl w:ilvl="1">
      <w:start w:val="1"/>
      <w:numFmt w:val="lowerLetter"/>
      <w:lvlText w:val="(%2)"/>
      <w:lvlJc w:val="left"/>
      <w:pPr>
        <w:tabs>
          <w:tab w:val="num" w:pos="2619"/>
        </w:tabs>
        <w:ind w:left="2619" w:hanging="708"/>
      </w:pPr>
      <w:r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rPr/>
    </w:lvl>
    <w:lvl w:ilvl="5">
      <w:start w:val="1"/>
      <w:numFmt w:val="lowerRoman"/>
      <w:lvlText w:val="(%6)"/>
      <w:lvlJc w:val="left"/>
      <w:pPr>
        <w:tabs>
          <w:tab w:val="num" w:pos="2160"/>
        </w:tabs>
        <w:ind w:left="2160" w:hanging="360"/>
      </w:pPr>
      <w:rPr/>
    </w:lvl>
    <w:lvl w:ilvl="6">
      <w:start w:val="1"/>
      <w:numFmt w:val="decimal"/>
      <w:lvlText w:val="%7."/>
      <w:lvlJc w:val="left"/>
      <w:pPr>
        <w:tabs>
          <w:tab w:val="num" w:pos="2520"/>
        </w:tabs>
        <w:ind w:left="2520" w:hanging="360"/>
      </w:pPr>
      <w:rPr/>
    </w:lvl>
    <w:lvl w:ilvl="7">
      <w:start w:val="1"/>
      <w:numFmt w:val="lowerLetter"/>
      <w:lvlText w:val="%8."/>
      <w:lvlJc w:val="left"/>
      <w:pPr>
        <w:tabs>
          <w:tab w:val="num" w:pos="2880"/>
        </w:tabs>
        <w:ind w:left="2880" w:hanging="360"/>
      </w:pPr>
      <w:rPr/>
    </w:lvl>
    <w:lvl w:ilvl="8">
      <w:start w:val="1"/>
      <w:numFmt w:val="lowerRoman"/>
      <w:lvlText w:val="%9."/>
      <w:lvlJc w:val="left"/>
      <w:pPr>
        <w:tabs>
          <w:tab w:val="num" w:pos="3240"/>
        </w:tabs>
        <w:ind w:left="3240" w:hanging="360"/>
      </w:pPr>
      <w:rPr/>
    </w:lvl>
  </w:abstractNum>
  <w:abstractNum w:abstractNumId="19">
    <w:lvl w:ilvl="0">
      <w:start w:val="1"/>
      <w:numFmt w:val="decimal"/>
      <w:lvlText w:val="Article %1 - "/>
      <w:lvlJc w:val="left"/>
      <w:pPr>
        <w:tabs>
          <w:tab w:val="num" w:pos="0"/>
        </w:tabs>
        <w:ind w:left="1021" w:hanging="1021"/>
      </w:pPr>
      <w:rPr>
        <w:smallCaps w:val="false"/>
        <w:caps w:val="false"/>
        <w:dstrike w:val="false"/>
        <w:strike w:val="false"/>
        <w:vertAlign w:val="baseline"/>
        <w:position w:val="0"/>
        <w:sz w:val="24"/>
        <w:sz w:val="24"/>
        <w:spacing w:val="0"/>
        <w:i w:val="false"/>
        <w:u w:val="none"/>
        <w:b/>
        <w:kern w:val="0"/>
        <w:iCs w:val="false"/>
        <w:vanish w:val="false"/>
        <w:rFonts w:ascii="Times New Roman Bold" w:hAnsi="Times New Roman Bold"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134" w:hanging="567"/>
      </w:pPr>
      <w:rPr>
        <w:smallCaps w:val="false"/>
        <w:caps w:val="false"/>
        <w:dstrike w:val="false"/>
        <w:strike w:val="false"/>
        <w:vertAlign w:val="baseline"/>
        <w:position w:val="0"/>
        <w:sz w:val="22"/>
        <w:sz w:val="22"/>
        <w:spacing w:val="0"/>
        <w:i w:val="false"/>
        <w:u w:val="none"/>
        <w:b w:val="false"/>
        <w:kern w:val="0"/>
        <w:effect w:val="none"/>
        <w:iCs w:val="false"/>
        <w:bCs w:val="false"/>
        <w:w w:val="100"/>
        <w:vanish w:val="false"/>
        <w:rFonts w:ascii="Times New Roman" w:hAnsi="Times New Roman" w:cs="Times New Roman"/>
        <w:color w:val="auto"/>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smallCaps w:val="false"/>
        <w:caps w:val="false"/>
        <w:dstrike w:val="false"/>
        <w:strike w:val="false"/>
        <w:vertAlign w:val="baseline"/>
        <w:position w:val="0"/>
        <w:sz w:val="22"/>
        <w:sz w:val="22"/>
        <w:i w:val="false"/>
        <w:b w:val="false"/>
        <w:vanish w:val="false"/>
        <w:rFonts w:ascii="Times New Roman" w:hAnsi="Times New Roman"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lvl w:ilvl="0">
      <w:start w:val="1"/>
      <w:numFmt w:val="lowerLetter"/>
      <w:lvlText w:val="(%1)"/>
      <w:lvlJc w:val="left"/>
      <w:pPr>
        <w:tabs>
          <w:tab w:val="num" w:pos="0"/>
        </w:tabs>
        <w:ind w:left="1713" w:hanging="360"/>
      </w:pPr>
      <w:rPr/>
    </w:lvl>
    <w:lvl w:ilvl="1">
      <w:start w:val="1"/>
      <w:numFmt w:val="lowerLetter"/>
      <w:lvlText w:val="%2."/>
      <w:lvlJc w:val="left"/>
      <w:pPr>
        <w:tabs>
          <w:tab w:val="num" w:pos="0"/>
        </w:tabs>
        <w:ind w:left="2433" w:hanging="360"/>
      </w:pPr>
      <w:rPr/>
    </w:lvl>
    <w:lvl w:ilvl="2">
      <w:start w:val="1"/>
      <w:numFmt w:val="lowerRoman"/>
      <w:lvlText w:val="%3."/>
      <w:lvlJc w:val="right"/>
      <w:pPr>
        <w:tabs>
          <w:tab w:val="num" w:pos="0"/>
        </w:tabs>
        <w:ind w:left="3153" w:hanging="180"/>
      </w:pPr>
      <w:rPr/>
    </w:lvl>
    <w:lvl w:ilvl="3">
      <w:start w:val="1"/>
      <w:numFmt w:val="decimal"/>
      <w:lvlText w:val="%4."/>
      <w:lvlJc w:val="left"/>
      <w:pPr>
        <w:tabs>
          <w:tab w:val="num" w:pos="0"/>
        </w:tabs>
        <w:ind w:left="3873" w:hanging="360"/>
      </w:pPr>
      <w:rPr/>
    </w:lvl>
    <w:lvl w:ilvl="4">
      <w:start w:val="1"/>
      <w:numFmt w:val="lowerLetter"/>
      <w:lvlText w:val="%5."/>
      <w:lvlJc w:val="left"/>
      <w:pPr>
        <w:tabs>
          <w:tab w:val="num" w:pos="0"/>
        </w:tabs>
        <w:ind w:left="4593" w:hanging="360"/>
      </w:pPr>
      <w:rPr/>
    </w:lvl>
    <w:lvl w:ilvl="5">
      <w:start w:val="1"/>
      <w:numFmt w:val="lowerRoman"/>
      <w:lvlText w:val="%6."/>
      <w:lvlJc w:val="right"/>
      <w:pPr>
        <w:tabs>
          <w:tab w:val="num" w:pos="0"/>
        </w:tabs>
        <w:ind w:left="5313" w:hanging="180"/>
      </w:pPr>
      <w:rPr/>
    </w:lvl>
    <w:lvl w:ilvl="6">
      <w:start w:val="1"/>
      <w:numFmt w:val="decimal"/>
      <w:lvlText w:val="%7."/>
      <w:lvlJc w:val="left"/>
      <w:pPr>
        <w:tabs>
          <w:tab w:val="num" w:pos="0"/>
        </w:tabs>
        <w:ind w:left="6033" w:hanging="360"/>
      </w:pPr>
      <w:rPr/>
    </w:lvl>
    <w:lvl w:ilvl="7">
      <w:start w:val="1"/>
      <w:numFmt w:val="lowerLetter"/>
      <w:lvlText w:val="%8."/>
      <w:lvlJc w:val="left"/>
      <w:pPr>
        <w:tabs>
          <w:tab w:val="num" w:pos="0"/>
        </w:tabs>
        <w:ind w:left="6753" w:hanging="360"/>
      </w:pPr>
      <w:rPr/>
    </w:lvl>
    <w:lvl w:ilvl="8">
      <w:start w:val="1"/>
      <w:numFmt w:val="lowerRoman"/>
      <w:lvlText w:val="%9."/>
      <w:lvlJc w:val="right"/>
      <w:pPr>
        <w:tabs>
          <w:tab w:val="num" w:pos="0"/>
        </w:tabs>
        <w:ind w:left="7473" w:hanging="180"/>
      </w:pPr>
      <w:rPr/>
    </w:lvl>
  </w:abstractNum>
  <w:abstractNum w:abstractNumId="21">
    <w:lvl w:ilvl="0">
      <w:numFmt w:val="bullet"/>
      <w:lvlText w:val="-"/>
      <w:lvlJc w:val="left"/>
      <w:pPr>
        <w:tabs>
          <w:tab w:val="num" w:pos="0"/>
        </w:tabs>
        <w:ind w:left="927" w:hanging="360"/>
      </w:pPr>
      <w:rPr>
        <w:rFonts w:ascii="Times New Roman" w:hAnsi="Times New Roman" w:cs="Times New Roman" w:hint="default"/>
      </w:rPr>
    </w:lvl>
    <w:lvl w:ilvl="1">
      <w:start w:val="1"/>
      <w:numFmt w:val="bullet"/>
      <w:lvlText w:val="o"/>
      <w:lvlJc w:val="left"/>
      <w:pPr>
        <w:tabs>
          <w:tab w:val="num" w:pos="0"/>
        </w:tabs>
        <w:ind w:left="1647" w:hanging="360"/>
      </w:pPr>
      <w:rPr>
        <w:rFonts w:ascii="Courier New" w:hAnsi="Courier New" w:cs="Courier New" w:hint="default"/>
      </w:rPr>
    </w:lvl>
    <w:lvl w:ilvl="2">
      <w:start w:val="1"/>
      <w:numFmt w:val="bullet"/>
      <w:lvlText w:val=""/>
      <w:lvlJc w:val="left"/>
      <w:pPr>
        <w:tabs>
          <w:tab w:val="num" w:pos="0"/>
        </w:tabs>
        <w:ind w:left="2367" w:hanging="360"/>
      </w:pPr>
      <w:rPr>
        <w:rFonts w:ascii="Wingdings" w:hAnsi="Wingdings" w:cs="Wingdings" w:hint="default"/>
      </w:rPr>
    </w:lvl>
    <w:lvl w:ilvl="3">
      <w:start w:val="1"/>
      <w:numFmt w:val="bullet"/>
      <w:lvlText w:val=""/>
      <w:lvlJc w:val="left"/>
      <w:pPr>
        <w:tabs>
          <w:tab w:val="num" w:pos="0"/>
        </w:tabs>
        <w:ind w:left="3087" w:hanging="360"/>
      </w:pPr>
      <w:rPr>
        <w:rFonts w:ascii="Symbol" w:hAnsi="Symbol" w:cs="Symbol" w:hint="default"/>
      </w:rPr>
    </w:lvl>
    <w:lvl w:ilvl="4">
      <w:start w:val="1"/>
      <w:numFmt w:val="bullet"/>
      <w:lvlText w:val="o"/>
      <w:lvlJc w:val="left"/>
      <w:pPr>
        <w:tabs>
          <w:tab w:val="num" w:pos="0"/>
        </w:tabs>
        <w:ind w:left="3807" w:hanging="360"/>
      </w:pPr>
      <w:rPr>
        <w:rFonts w:ascii="Courier New" w:hAnsi="Courier New" w:cs="Courier New" w:hint="default"/>
      </w:rPr>
    </w:lvl>
    <w:lvl w:ilvl="5">
      <w:start w:val="1"/>
      <w:numFmt w:val="bullet"/>
      <w:lvlText w:val=""/>
      <w:lvlJc w:val="left"/>
      <w:pPr>
        <w:tabs>
          <w:tab w:val="num" w:pos="0"/>
        </w:tabs>
        <w:ind w:left="4527" w:hanging="360"/>
      </w:pPr>
      <w:rPr>
        <w:rFonts w:ascii="Wingdings" w:hAnsi="Wingdings" w:cs="Wingdings" w:hint="default"/>
      </w:rPr>
    </w:lvl>
    <w:lvl w:ilvl="6">
      <w:start w:val="1"/>
      <w:numFmt w:val="bullet"/>
      <w:lvlText w:val=""/>
      <w:lvlJc w:val="left"/>
      <w:pPr>
        <w:tabs>
          <w:tab w:val="num" w:pos="0"/>
        </w:tabs>
        <w:ind w:left="5247" w:hanging="360"/>
      </w:pPr>
      <w:rPr>
        <w:rFonts w:ascii="Symbol" w:hAnsi="Symbol" w:cs="Symbol" w:hint="default"/>
      </w:rPr>
    </w:lvl>
    <w:lvl w:ilvl="7">
      <w:start w:val="1"/>
      <w:numFmt w:val="bullet"/>
      <w:lvlText w:val="o"/>
      <w:lvlJc w:val="left"/>
      <w:pPr>
        <w:tabs>
          <w:tab w:val="num" w:pos="0"/>
        </w:tabs>
        <w:ind w:left="5967" w:hanging="360"/>
      </w:pPr>
      <w:rPr>
        <w:rFonts w:ascii="Courier New" w:hAnsi="Courier New" w:cs="Courier New" w:hint="default"/>
      </w:rPr>
    </w:lvl>
    <w:lvl w:ilvl="8">
      <w:start w:val="1"/>
      <w:numFmt w:val="bullet"/>
      <w:lvlText w:val=""/>
      <w:lvlJc w:val="left"/>
      <w:pPr>
        <w:tabs>
          <w:tab w:val="num" w:pos="0"/>
        </w:tabs>
        <w:ind w:left="6687" w:hanging="360"/>
      </w:pPr>
      <w:rPr>
        <w:rFonts w:ascii="Wingdings" w:hAnsi="Wingdings" w:cs="Wingdings" w:hint="default"/>
      </w:rPr>
    </w:lvl>
  </w:abstractNum>
  <w:abstractNum w:abstractNumId="2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w="http://schemas.openxmlformats.org/wordprocessingml/2006/main">
  <w:zoom w:percent="100"/>
  <w:embedSystemFonts/>
  <w:defaultTabStop w:val="720"/>
  <w:autoHyphenation w:val="true"/>
  <w:doNotHyphenateCaps/>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GB" w:eastAsia="" w:bidi=""/>
  <w:docVars>
    <w:docVar w:name="LW_DocType" w:val="NORMAL"/>
    <w:docVar w:name="Stamp" w:val="\\dossiers.dgt.cec.eu.int\dossiers\DEVCO\DEVCO-2011-00112\DEVCO-2011-00112-01-05-EN-REV-00.DOC"/>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0"/>
      <w:lang w:eastAsia="en-US" w:val="en-GB" w:bidi="ar-SA"/>
    </w:rPr>
  </w:style>
  <w:style w:type="paragraph" w:styleId="Heading1">
    <w:name w:val="heading 1"/>
    <w:basedOn w:val="Normal"/>
    <w:next w:val="Normal"/>
    <w:qFormat/>
    <w:pPr>
      <w:keepNext w:val="true"/>
      <w:jc w:val="center"/>
      <w:outlineLvl w:val="0"/>
    </w:pPr>
    <w:rPr>
      <w:rFonts w:ascii="Arial" w:hAnsi="Arial"/>
      <w:b/>
      <w:color w:val="FF0000"/>
      <w:sz w:val="28"/>
    </w:rPr>
  </w:style>
  <w:style w:type="paragraph" w:styleId="Heading2">
    <w:name w:val="heading 2"/>
    <w:basedOn w:val="Normal"/>
    <w:next w:val="Normal"/>
    <w:link w:val="Heading2Char"/>
    <w:qFormat/>
    <w:pPr>
      <w:keepNext w:val="true"/>
      <w:ind w:hanging="425" w:left="1276"/>
      <w:jc w:val="both"/>
      <w:outlineLvl w:val="1"/>
    </w:pPr>
    <w:rPr>
      <w:rFonts w:ascii="Arial" w:hAnsi="Arial"/>
      <w:b/>
      <w:sz w:val="20"/>
      <w:lang w:val="fr-FR"/>
    </w:rPr>
  </w:style>
  <w:style w:type="paragraph" w:styleId="Heading3">
    <w:name w:val="heading 3"/>
    <w:basedOn w:val="Normal"/>
    <w:next w:val="Normal"/>
    <w:link w:val="Heading3Char"/>
    <w:qFormat/>
    <w:pPr>
      <w:keepNext w:val="true"/>
      <w:jc w:val="center"/>
      <w:outlineLvl w:val="2"/>
    </w:pPr>
    <w:rPr>
      <w:rFonts w:ascii="Arial" w:hAnsi="Arial"/>
      <w:b/>
      <w:color w:val="FF0000"/>
      <w:sz w:val="36"/>
      <w:lang w:val="fr-FR"/>
    </w:rPr>
  </w:style>
  <w:style w:type="paragraph" w:styleId="Heading4">
    <w:name w:val="heading 4"/>
    <w:basedOn w:val="Normal"/>
    <w:next w:val="Normal"/>
    <w:qFormat/>
    <w:pPr>
      <w:keepNext w:val="true"/>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val="true"/>
      <w:jc w:val="both"/>
      <w:outlineLvl w:val="4"/>
    </w:pPr>
    <w:rPr>
      <w:rFonts w:ascii="Arial" w:hAnsi="Arial"/>
      <w:b/>
      <w:sz w:val="20"/>
    </w:rPr>
  </w:style>
  <w:style w:type="paragraph" w:styleId="Heading7">
    <w:name w:val="heading 7"/>
    <w:basedOn w:val="Normal"/>
    <w:next w:val="Normal"/>
    <w:qFormat/>
    <w:pPr>
      <w:keepNext w:val="true"/>
      <w:jc w:val="center"/>
      <w:outlineLvl w:val="6"/>
    </w:pPr>
    <w:rPr>
      <w:rFonts w:ascii="Arial" w:hAnsi="Arial"/>
      <w:b/>
      <w:color w:val="008000"/>
      <w:sz w:val="32"/>
    </w:rPr>
  </w:style>
  <w:style w:type="paragraph" w:styleId="Heading8">
    <w:name w:val="heading 8"/>
    <w:basedOn w:val="Normal"/>
    <w:next w:val="Normal"/>
    <w:qFormat/>
    <w:pPr>
      <w:keepNext w:val="true"/>
      <w:numPr>
        <w:ilvl w:val="0"/>
        <w:numId w:val="1"/>
      </w:numPr>
      <w:jc w:val="both"/>
      <w:outlineLvl w:val="7"/>
    </w:pPr>
    <w:rPr>
      <w:rFonts w:ascii="Arial" w:hAnsi="Arial"/>
      <w:b/>
    </w:rPr>
  </w:style>
  <w:style w:type="character" w:styleId="DefaultParagraphFont" w:default="1">
    <w:name w:val="Default Paragraph Font"/>
    <w:uiPriority w:val="1"/>
    <w:semiHidden/>
    <w:unhideWhenUsed/>
    <w:qFormat/>
    <w:rPr/>
  </w:style>
  <w:style w:type="character" w:styleId="Hyperlink">
    <w:name w:val="Hyperlink"/>
    <w:uiPriority w:val="99"/>
    <w:rPr>
      <w:color w:val="0000FF"/>
      <w:u w:val="single"/>
    </w:rPr>
  </w:style>
  <w:style w:type="character" w:styleId="FootnoteCharacters">
    <w:name w:val="Footnote Characters"/>
    <w:qFormat/>
    <w:rPr>
      <w:vertAlign w:val="superscript"/>
    </w:rPr>
  </w:style>
  <w:style w:type="character" w:styleId="FootnoteReference">
    <w:name w:val="footnote reference"/>
    <w:rPr>
      <w:vertAlign w:val="superscript"/>
    </w:rPr>
  </w:style>
  <w:style w:type="character" w:styleId="PageNumber">
    <w:name w:val="page number"/>
    <w:basedOn w:val="DefaultParagraphFont"/>
    <w:rPr/>
  </w:style>
  <w:style w:type="character" w:styleId="FollowedHyperlink">
    <w:name w:val="FollowedHyperlink"/>
    <w:rPr>
      <w:color w:val="800080"/>
      <w:u w:val="single"/>
    </w:rPr>
  </w:style>
  <w:style w:type="character" w:styleId="tw4winMark" w:customStyle="1">
    <w:name w:val="tw4winMark"/>
    <w:qFormat/>
    <w:rsid w:val="0068234b"/>
    <w:rPr>
      <w:rFonts w:ascii="Times New Roman" w:hAnsi="Times New Roman" w:cs="Times New Roman"/>
      <w:vanish/>
      <w:color w:val="800080"/>
      <w:sz w:val="24"/>
      <w:szCs w:val="24"/>
      <w:vertAlign w:val="subscript"/>
    </w:rPr>
  </w:style>
  <w:style w:type="character" w:styleId="Heading2Char" w:customStyle="1">
    <w:name w:val="Heading 2 Char"/>
    <w:link w:val="Heading2"/>
    <w:semiHidden/>
    <w:qFormat/>
    <w:locked/>
    <w:rsid w:val="0068234b"/>
    <w:rPr>
      <w:rFonts w:ascii="Arial" w:hAnsi="Arial"/>
      <w:b/>
      <w:lang w:val="fr-FR" w:eastAsia="en-US" w:bidi="ar-SA"/>
    </w:rPr>
  </w:style>
  <w:style w:type="character" w:styleId="Strong">
    <w:name w:val="Strong"/>
    <w:qFormat/>
    <w:rsid w:val="0068234b"/>
    <w:rPr>
      <w:b/>
    </w:rPr>
  </w:style>
  <w:style w:type="character" w:styleId="DefaultMargins" w:customStyle="1">
    <w:name w:val="DefaultMargins"/>
    <w:qFormat/>
    <w:rsid w:val="001050ee"/>
    <w:rPr>
      <w:rFonts w:ascii="Courier" w:hAnsi="Courier" w:cs="Courier"/>
      <w:sz w:val="24"/>
      <w:szCs w:val="24"/>
      <w:lang w:val="en-US"/>
    </w:rPr>
  </w:style>
  <w:style w:type="character" w:styleId="Heading3Char" w:customStyle="1">
    <w:name w:val="Heading 3 Char"/>
    <w:link w:val="Heading3"/>
    <w:qFormat/>
    <w:rsid w:val="005478e4"/>
    <w:rPr>
      <w:rFonts w:ascii="Arial" w:hAnsi="Arial"/>
      <w:b/>
      <w:color w:val="FF0000"/>
      <w:sz w:val="36"/>
      <w:lang w:val="fr-FR" w:eastAsia="en-US" w:bidi="ar-SA"/>
    </w:rPr>
  </w:style>
  <w:style w:type="character" w:styleId="Normal2Char" w:customStyle="1">
    <w:name w:val="Normal2 Char"/>
    <w:link w:val="Normal2"/>
    <w:qFormat/>
    <w:rsid w:val="005478e4"/>
    <w:rPr>
      <w:color w:val="000000"/>
      <w:sz w:val="22"/>
      <w:szCs w:val="22"/>
      <w:lang w:val="en-US" w:eastAsia="en-US" w:bidi="ar-SA"/>
    </w:rPr>
  </w:style>
  <w:style w:type="character" w:styleId="StyleHeading3Char" w:customStyle="1">
    <w:name w:val="Style Heading 3 Char"/>
    <w:link w:val="StyleHeading3"/>
    <w:qFormat/>
    <w:rsid w:val="005478e4"/>
    <w:rPr>
      <w:rFonts w:ascii="Arial" w:hAnsi="Arial"/>
      <w:b/>
      <w:bCs/>
      <w:color w:val="FF0000"/>
      <w:sz w:val="22"/>
      <w:szCs w:val="26"/>
      <w:lang w:val="en-US" w:eastAsia="en-US" w:bidi="ar-SA"/>
    </w:rPr>
  </w:style>
  <w:style w:type="character" w:styleId="Style11pt" w:customStyle="1">
    <w:name w:val="Style 11 pt"/>
    <w:qFormat/>
    <w:rsid w:val="00b7615b"/>
    <w:rPr>
      <w:sz w:val="22"/>
    </w:rPr>
  </w:style>
  <w:style w:type="character" w:styleId="CommentReference">
    <w:name w:val="annotation reference"/>
    <w:uiPriority w:val="99"/>
    <w:qFormat/>
    <w:rsid w:val="004842dd"/>
    <w:rPr>
      <w:sz w:val="16"/>
      <w:szCs w:val="16"/>
    </w:rPr>
  </w:style>
  <w:style w:type="character" w:styleId="TitleChar" w:customStyle="1">
    <w:name w:val="Title Char"/>
    <w:link w:val="Title"/>
    <w:qFormat/>
    <w:locked/>
    <w:rsid w:val="00553f9e"/>
    <w:rPr>
      <w:rFonts w:ascii="Arial" w:hAnsi="Arial"/>
      <w:b/>
      <w:sz w:val="28"/>
      <w:lang w:val="fr-BE" w:eastAsia="en-US" w:bidi="ar-SA"/>
    </w:rPr>
  </w:style>
  <w:style w:type="character" w:styleId="FooterChar" w:customStyle="1">
    <w:name w:val="Footer Char"/>
    <w:link w:val="Footer"/>
    <w:qFormat/>
    <w:rsid w:val="00745cc9"/>
    <w:rPr>
      <w:sz w:val="24"/>
      <w:lang w:eastAsia="en-US"/>
    </w:rPr>
  </w:style>
  <w:style w:type="character" w:styleId="CommentTextChar" w:customStyle="1">
    <w:name w:val="Comment Text Char"/>
    <w:link w:val="CommentText"/>
    <w:uiPriority w:val="99"/>
    <w:qFormat/>
    <w:rsid w:val="00c261b3"/>
    <w:rPr>
      <w:lang w:eastAsia="en-US"/>
    </w:rPr>
  </w:style>
  <w:style w:type="character" w:styleId="hps" w:customStyle="1">
    <w:name w:val="hps"/>
    <w:qFormat/>
    <w:rsid w:val="00821569"/>
    <w:rPr/>
  </w:style>
  <w:style w:type="character" w:styleId="FootnoteTextChar" w:customStyle="1">
    <w:name w:val="Footnote Text Char"/>
    <w:link w:val="FootnoteText"/>
    <w:qFormat/>
    <w:rsid w:val="005c0f07"/>
    <w:rPr>
      <w:lang w:eastAsia="en-US"/>
    </w:rPr>
  </w:style>
  <w:style w:type="character" w:styleId="ArticleChar" w:customStyle="1">
    <w:name w:val="Article Char"/>
    <w:link w:val="Article"/>
    <w:qFormat/>
    <w:rsid w:val="009d3ddd"/>
    <w:rPr>
      <w:rFonts w:eastAsia="Calibri"/>
      <w:b/>
      <w:sz w:val="24"/>
      <w:szCs w:val="22"/>
      <w:lang w:eastAsia="en-US"/>
    </w:rPr>
  </w:style>
  <w:style w:type="character" w:styleId="pointarticleChar" w:customStyle="1">
    <w:name w:val="point article Char"/>
    <w:link w:val="pointarticle"/>
    <w:qFormat/>
    <w:rsid w:val="003474e2"/>
    <w:rPr>
      <w:bCs/>
      <w:iCs/>
      <w:sz w:val="22"/>
      <w:szCs w:val="28"/>
      <w:lang w:eastAsia="en-US"/>
    </w:rPr>
  </w:style>
  <w:style w:type="character" w:styleId="jlqj4b" w:customStyle="1">
    <w:name w:val="jlqj4b"/>
    <w:basedOn w:val="DefaultParagraphFont"/>
    <w:qFormat/>
    <w:rsid w:val="009c4ac6"/>
    <w:rPr/>
  </w:style>
  <w:style w:type="character" w:styleId="SubtitleChar" w:customStyle="1">
    <w:name w:val="Subtitle Char"/>
    <w:link w:val="Subtitle"/>
    <w:qFormat/>
    <w:rsid w:val="00446632"/>
    <w:rPr>
      <w:rFonts w:ascii="Arial" w:hAnsi="Arial"/>
      <w:b/>
      <w:sz w:val="28"/>
      <w:lang w:val="fr-BE" w:eastAsia="en-US"/>
    </w:rPr>
  </w:style>
  <w:style w:type="character" w:styleId="UnresolvedMention" w:customStyle="1">
    <w:name w:val="Unresolved Mention"/>
    <w:basedOn w:val="DefaultParagraphFont"/>
    <w:uiPriority w:val="99"/>
    <w:semiHidden/>
    <w:unhideWhenUsed/>
    <w:qFormat/>
    <w:rsid w:val="00bc6029"/>
    <w:rPr>
      <w:color w:val="605E5C"/>
      <w:shd w:fill="E1DFDD" w:val="clear"/>
    </w:rPr>
  </w:style>
  <w:style w:type="character" w:styleId="Emphasis">
    <w:name w:val="Emphasis"/>
    <w:qFormat/>
    <w:rsid w:val="0097376b"/>
    <w:rPr>
      <w:i/>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rFonts w:ascii="Arial" w:hAnsi="Arial"/>
      <w:sz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oddl-nadpis" w:customStyle="1">
    <w:name w:val="oddíl-nadpis"/>
    <w:basedOn w:val="Normal"/>
    <w:qFormat/>
    <w:pPr>
      <w:keepNext w:val="true"/>
      <w:widowControl w:val="false"/>
      <w:tabs>
        <w:tab w:val="clear" w:pos="720"/>
        <w:tab w:val="left" w:pos="567" w:leader="none"/>
      </w:tabs>
      <w:spacing w:lineRule="exact" w:line="240" w:before="240" w:after="0"/>
    </w:pPr>
    <w:rPr>
      <w:rFonts w:ascii="Arial" w:hAnsi="Arial"/>
      <w:b/>
      <w:lang w:val="cs-CZ"/>
    </w:rPr>
  </w:style>
  <w:style w:type="paragraph" w:styleId="text-3mezera" w:customStyle="1">
    <w:name w:val="text - 3 mezera"/>
    <w:basedOn w:val="Normal"/>
    <w:qFormat/>
    <w:pPr>
      <w:widowControl w:val="false"/>
      <w:spacing w:lineRule="exact" w:line="240" w:before="60" w:after="0"/>
      <w:jc w:val="both"/>
    </w:pPr>
    <w:rPr>
      <w:rFonts w:ascii="Arial" w:hAnsi="Arial"/>
      <w:lang w:val="cs-CZ"/>
    </w:rPr>
  </w:style>
  <w:style w:type="paragraph" w:styleId="1zanoren" w:customStyle="1">
    <w:name w:val="1.zanorení"/>
    <w:basedOn w:val="text-3mezera"/>
    <w:qFormat/>
    <w:pPr>
      <w:ind w:hanging="1418" w:left="2127"/>
    </w:pPr>
    <w:rPr/>
  </w:style>
  <w:style w:type="paragraph" w:styleId="2zanoren" w:customStyle="1">
    <w:name w:val="2.zanorení"/>
    <w:basedOn w:val="text-3mezera"/>
    <w:qFormat/>
    <w:pPr>
      <w:ind w:hanging="1278" w:left="3402"/>
    </w:pPr>
    <w:rPr/>
  </w:style>
  <w:style w:type="paragraph" w:styleId="bulletsub" w:customStyle="1">
    <w:name w:val="bullet_sub"/>
    <w:basedOn w:val="Normal"/>
    <w:qFormat/>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240" w:after="0"/>
      <w:ind w:hanging="360" w:left="2912"/>
      <w:jc w:val="both"/>
    </w:pPr>
    <w:rPr>
      <w:rFonts w:ascii="Arial" w:hAnsi="Arial"/>
      <w:sz w:val="22"/>
    </w:rPr>
  </w:style>
  <w:style w:type="paragraph" w:styleId="TOC2">
    <w:name w:val="toc 2"/>
    <w:basedOn w:val="Normal"/>
    <w:next w:val="Normal"/>
    <w:autoRedefine/>
    <w:semiHidden/>
    <w:pPr>
      <w:tabs>
        <w:tab w:val="clear" w:pos="720"/>
        <w:tab w:val="left" w:pos="1418" w:leader="none"/>
        <w:tab w:val="right" w:pos="9072" w:leader="hyphen"/>
      </w:tabs>
      <w:ind w:hanging="425" w:left="850" w:right="424"/>
      <w:jc w:val="both"/>
    </w:pPr>
    <w:rPr>
      <w:rFonts w:ascii="Arial" w:hAnsi="Arial"/>
      <w:b/>
      <w:smallCaps/>
      <w:sz w:val="22"/>
    </w:rPr>
  </w:style>
  <w:style w:type="paragraph" w:styleId="TOC1">
    <w:name w:val="toc 1"/>
    <w:basedOn w:val="Normal"/>
    <w:next w:val="Normal"/>
    <w:autoRedefine/>
    <w:semiHidden/>
    <w:pPr>
      <w:tabs>
        <w:tab w:val="clear" w:pos="720"/>
        <w:tab w:val="left" w:pos="400" w:leader="none"/>
        <w:tab w:val="left" w:pos="851" w:leader="none"/>
        <w:tab w:val="left" w:pos="1701" w:leader="none"/>
        <w:tab w:val="right" w:pos="9062" w:leader="hyphen"/>
      </w:tabs>
    </w:pPr>
    <w:rPr>
      <w:i/>
      <w:sz w:val="22"/>
    </w:rPr>
  </w:style>
  <w:style w:type="paragraph" w:styleId="bullet-3" w:customStyle="1">
    <w:name w:val="bullet-3"/>
    <w:basedOn w:val="Normal"/>
    <w:qFormat/>
    <w:pPr>
      <w:widowControl w:val="false"/>
      <w:spacing w:lineRule="exact" w:line="240" w:before="240" w:after="0"/>
      <w:ind w:hanging="284" w:left="2212"/>
      <w:jc w:val="both"/>
    </w:pPr>
    <w:rPr>
      <w:rFonts w:ascii="Arial" w:hAnsi="Arial"/>
      <w:lang w:val="cs-CZ"/>
    </w:rPr>
  </w:style>
  <w:style w:type="paragraph" w:styleId="HeaderandFooter">
    <w:name w:val="Header and Footer"/>
    <w:basedOn w:val="Normal"/>
    <w:qFormat/>
    <w:pPr/>
    <w:rPr/>
  </w:style>
  <w:style w:type="paragraph" w:styleId="Footer">
    <w:name w:val="footer"/>
    <w:basedOn w:val="Normal"/>
    <w:link w:val="FooterChar"/>
    <w:pPr>
      <w:tabs>
        <w:tab w:val="clear" w:pos="720"/>
        <w:tab w:val="center" w:pos="4320" w:leader="none"/>
        <w:tab w:val="right" w:pos="8640" w:leader="none"/>
      </w:tabs>
    </w:pPr>
    <w:rPr/>
  </w:style>
  <w:style w:type="paragraph" w:styleId="Header">
    <w:name w:val="header"/>
    <w:basedOn w:val="Normal"/>
    <w:pPr>
      <w:tabs>
        <w:tab w:val="clear" w:pos="720"/>
        <w:tab w:val="center" w:pos="4536" w:leader="none"/>
        <w:tab w:val="right" w:pos="9072" w:leader="none"/>
      </w:tabs>
    </w:pPr>
    <w:rPr>
      <w:rFonts w:ascii="Arial" w:hAnsi="Arial"/>
      <w:sz w:val="20"/>
    </w:rPr>
  </w:style>
  <w:style w:type="paragraph" w:styleId="BodyTextIndent">
    <w:name w:val="Body Text Indent"/>
    <w:basedOn w:val="Normal"/>
    <w:pPr>
      <w:jc w:val="both"/>
    </w:pPr>
    <w:rPr>
      <w:sz w:val="22"/>
    </w:rPr>
  </w:style>
  <w:style w:type="paragraph" w:styleId="NormalIndent">
    <w:name w:val="Normal Indent"/>
    <w:basedOn w:val="Normal"/>
    <w:qFormat/>
    <w:pPr>
      <w:ind w:left="708"/>
    </w:pPr>
    <w:rPr>
      <w:rFonts w:ascii="Arial" w:hAnsi="Arial"/>
      <w:sz w:val="20"/>
    </w:rPr>
  </w:style>
  <w:style w:type="paragraph" w:styleId="tabulka" w:customStyle="1">
    <w:name w:val="tabulka"/>
    <w:basedOn w:val="text-3mezera"/>
    <w:qFormat/>
    <w:pPr>
      <w:spacing w:before="120" w:after="0"/>
      <w:jc w:val="center"/>
    </w:pPr>
    <w:rPr>
      <w:sz w:val="20"/>
    </w:rPr>
  </w:style>
  <w:style w:type="paragraph" w:styleId="FootnoteText">
    <w:name w:val="footnote text"/>
    <w:basedOn w:val="Normal"/>
    <w:link w:val="FootnoteTextChar"/>
    <w:qFormat/>
    <w:pPr/>
    <w:rPr>
      <w:sz w:val="20"/>
    </w:rPr>
  </w:style>
  <w:style w:type="paragraph" w:styleId="Volume" w:customStyle="1">
    <w:name w:val="Volume"/>
    <w:basedOn w:val="text"/>
    <w:next w:val="Section"/>
    <w:qFormat/>
    <w:pPr>
      <w:pageBreakBefore/>
      <w:spacing w:lineRule="exact" w:line="360" w:before="360" w:after="0"/>
      <w:jc w:val="center"/>
    </w:pPr>
    <w:rPr>
      <w:b/>
      <w:sz w:val="36"/>
    </w:rPr>
  </w:style>
  <w:style w:type="paragraph" w:styleId="text" w:customStyle="1">
    <w:name w:val="text"/>
    <w:qFormat/>
    <w:pPr>
      <w:widowControl w:val="false"/>
      <w:bidi w:val="0"/>
      <w:spacing w:lineRule="exact" w:line="240" w:before="240" w:after="0"/>
      <w:jc w:val="both"/>
    </w:pPr>
    <w:rPr>
      <w:rFonts w:ascii="Arial" w:hAnsi="Arial" w:eastAsia="Times New Roman" w:cs="Times New Roman"/>
      <w:color w:val="auto"/>
      <w:kern w:val="0"/>
      <w:sz w:val="24"/>
      <w:szCs w:val="20"/>
      <w:lang w:val="cs-CZ" w:eastAsia="en-US" w:bidi="ar-SA"/>
    </w:rPr>
  </w:style>
  <w:style w:type="paragraph" w:styleId="Section" w:customStyle="1">
    <w:name w:val="Section"/>
    <w:basedOn w:val="Volume"/>
    <w:qFormat/>
    <w:pPr>
      <w:pageBreakBefore w:val="false"/>
      <w:spacing w:before="0" w:after="0"/>
    </w:pPr>
    <w:rPr>
      <w:sz w:val="32"/>
    </w:rPr>
  </w:style>
  <w:style w:type="paragraph" w:styleId="textcslovan" w:customStyle="1">
    <w:name w:val="text císlovaný"/>
    <w:basedOn w:val="text"/>
    <w:qFormat/>
    <w:pPr>
      <w:ind w:hanging="567" w:left="567"/>
    </w:pPr>
    <w:rPr/>
  </w:style>
  <w:style w:type="paragraph" w:styleId="Nadpis-STRANA" w:customStyle="1">
    <w:name w:val="Nadpis - STRANA"/>
    <w:basedOn w:val="text"/>
    <w:next w:val="Volume"/>
    <w:qFormat/>
    <w:pPr>
      <w:pageBreakBefore/>
      <w:spacing w:lineRule="exact" w:line="520" w:before="5040" w:after="0"/>
      <w:jc w:val="center"/>
    </w:pPr>
    <w:rPr>
      <w:b/>
      <w:sz w:val="36"/>
    </w:rPr>
  </w:style>
  <w:style w:type="paragraph" w:styleId="PlainText">
    <w:name w:val="Plain Text"/>
    <w:basedOn w:val="Normal"/>
    <w:qFormat/>
    <w:pPr/>
    <w:rPr>
      <w:rFonts w:ascii="Courier New" w:hAnsi="Courier New"/>
      <w:sz w:val="20"/>
    </w:rPr>
  </w:style>
  <w:style w:type="paragraph" w:styleId="Blockquote" w:customStyle="1">
    <w:name w:val="Blockquote"/>
    <w:basedOn w:val="Normal"/>
    <w:qFormat/>
    <w:pPr>
      <w:widowControl w:val="false"/>
      <w:spacing w:before="100" w:after="100"/>
      <w:ind w:left="360" w:right="360"/>
    </w:pPr>
    <w:rPr/>
  </w:style>
  <w:style w:type="paragraph" w:styleId="Text1" w:customStyle="1">
    <w:name w:val="Text 1"/>
    <w:basedOn w:val="Normal"/>
    <w:qFormat/>
    <w:pPr>
      <w:spacing w:before="120" w:after="120"/>
      <w:ind w:left="851"/>
      <w:jc w:val="both"/>
    </w:pPr>
    <w:rPr/>
  </w:style>
  <w:style w:type="paragraph" w:styleId="ManualNumPar1" w:customStyle="1">
    <w:name w:val="Manual NumPar 1"/>
    <w:basedOn w:val="Normal"/>
    <w:next w:val="Text1"/>
    <w:qFormat/>
    <w:pPr>
      <w:spacing w:before="120" w:after="120"/>
      <w:ind w:hanging="851" w:left="851"/>
      <w:jc w:val="both"/>
    </w:pPr>
    <w:rPr/>
  </w:style>
  <w:style w:type="paragraph" w:styleId="Point1" w:customStyle="1">
    <w:name w:val="Point 1"/>
    <w:basedOn w:val="Normal"/>
    <w:qFormat/>
    <w:pPr>
      <w:spacing w:before="120" w:after="120"/>
      <w:ind w:hanging="567" w:left="1418"/>
      <w:jc w:val="both"/>
    </w:pPr>
    <w:rPr/>
  </w:style>
  <w:style w:type="paragraph" w:styleId="Subtitle">
    <w:name w:val="Subtitle"/>
    <w:basedOn w:val="Normal"/>
    <w:link w:val="SubtitleChar"/>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rPr/>
  </w:style>
  <w:style w:type="paragraph" w:styleId="TOC4">
    <w:name w:val="toc 4"/>
    <w:basedOn w:val="Normal"/>
    <w:next w:val="Normal"/>
    <w:autoRedefine/>
    <w:semiHidden/>
    <w:pPr>
      <w:ind w:left="720"/>
    </w:pPr>
    <w:rPr/>
  </w:style>
  <w:style w:type="paragraph" w:styleId="TOC5">
    <w:name w:val="toc 5"/>
    <w:basedOn w:val="Normal"/>
    <w:next w:val="Normal"/>
    <w:semiHidden/>
    <w:rsid w:val="0028152c"/>
    <w:pPr>
      <w:tabs>
        <w:tab w:val="clear" w:pos="720"/>
        <w:tab w:val="right" w:pos="8641" w:leader="dot"/>
      </w:tabs>
      <w:spacing w:before="240" w:after="120"/>
      <w:ind w:right="720"/>
      <w:jc w:val="both"/>
    </w:pPr>
    <w:rPr>
      <w:caps/>
    </w:rPr>
  </w:style>
  <w:style w:type="paragraph" w:styleId="TOC6">
    <w:name w:val="toc 6"/>
    <w:basedOn w:val="Normal"/>
    <w:next w:val="Normal"/>
    <w:autoRedefine/>
    <w:semiHidden/>
    <w:pPr>
      <w:ind w:left="1200"/>
    </w:pPr>
    <w:rPr/>
  </w:style>
  <w:style w:type="paragraph" w:styleId="TOC7">
    <w:name w:val="toc 7"/>
    <w:basedOn w:val="Normal"/>
    <w:next w:val="Normal"/>
    <w:autoRedefine/>
    <w:semiHidden/>
    <w:pPr>
      <w:ind w:left="1440"/>
    </w:pPr>
    <w:rPr/>
  </w:style>
  <w:style w:type="paragraph" w:styleId="TOC8">
    <w:name w:val="toc 8"/>
    <w:basedOn w:val="Normal"/>
    <w:next w:val="Normal"/>
    <w:autoRedefine/>
    <w:semiHidden/>
    <w:pPr>
      <w:ind w:left="1680"/>
    </w:pPr>
    <w:rPr/>
  </w:style>
  <w:style w:type="paragraph" w:styleId="TOC9">
    <w:name w:val="toc 9"/>
    <w:basedOn w:val="Normal"/>
    <w:next w:val="Normal"/>
    <w:autoRedefine/>
    <w:semiHidden/>
    <w:pPr>
      <w:ind w:left="1920"/>
    </w:pPr>
    <w:rPr/>
  </w:style>
  <w:style w:type="paragraph" w:styleId="BalloonText">
    <w:name w:val="Balloon Text"/>
    <w:basedOn w:val="Normal"/>
    <w:semiHidden/>
    <w:qFormat/>
    <w:rsid w:val="0087152f"/>
    <w:pPr/>
    <w:rPr>
      <w:rFonts w:ascii="Tahoma" w:hAnsi="Tahoma" w:cs="Tahoma"/>
      <w:sz w:val="16"/>
      <w:szCs w:val="16"/>
    </w:rPr>
  </w:style>
  <w:style w:type="paragraph" w:styleId="titre4" w:customStyle="1">
    <w:name w:val="titre4"/>
    <w:basedOn w:val="Normal"/>
    <w:qFormat/>
    <w:pPr>
      <w:numPr>
        <w:ilvl w:val="0"/>
        <w:numId w:val="2"/>
      </w:numPr>
      <w:tabs>
        <w:tab w:val="clear" w:pos="720"/>
        <w:tab w:val="decimal" w:pos="357" w:leader="none"/>
      </w:tabs>
      <w:ind w:hanging="357" w:left="357"/>
    </w:pPr>
    <w:rPr>
      <w:rFonts w:ascii="Arial" w:hAnsi="Arial"/>
      <w:b/>
    </w:rPr>
  </w:style>
  <w:style w:type="paragraph" w:styleId="Index1">
    <w:name w:val="index 1"/>
    <w:basedOn w:val="Normal"/>
    <w:next w:val="Normal"/>
    <w:autoRedefine/>
    <w:semiHidden/>
    <w:pPr>
      <w:ind w:hanging="240" w:left="240"/>
    </w:pPr>
    <w:rPr/>
  </w:style>
  <w:style w:type="paragraph" w:styleId="BodyText2">
    <w:name w:val="Body Text 2"/>
    <w:basedOn w:val="Normal"/>
    <w:qFormat/>
    <w:rsid w:val="0068234b"/>
    <w:pPr>
      <w:tabs>
        <w:tab w:val="clear" w:pos="720"/>
        <w:tab w:val="left" w:pos="567" w:leader="none"/>
      </w:tabs>
      <w:jc w:val="both"/>
    </w:pPr>
    <w:rPr>
      <w:lang w:val="sv-SE" w:eastAsia="en-GB"/>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qFormat/>
    <w:rsid w:val="0068234b"/>
    <w:pPr>
      <w:spacing w:lineRule="exact" w:line="240" w:before="0" w:after="160"/>
    </w:pPr>
    <w:rPr>
      <w:rFonts w:ascii="Tahoma" w:hAnsi="Tahoma"/>
      <w:lang w:val="en-US"/>
    </w:rPr>
  </w:style>
  <w:style w:type="paragraph" w:styleId="corpsarticle" w:customStyle="1">
    <w:name w:val="corps_article"/>
    <w:basedOn w:val="BodyText"/>
    <w:qFormat/>
    <w:rsid w:val="001050ee"/>
    <w:pPr>
      <w:spacing w:before="60" w:after="60"/>
      <w:ind w:right="-1"/>
    </w:pPr>
    <w:rPr>
      <w:rFonts w:ascii="Times New Roman" w:hAnsi="Times New Roman"/>
      <w:sz w:val="22"/>
      <w:lang w:eastAsia="fr-FR"/>
    </w:rPr>
  </w:style>
  <w:style w:type="paragraph" w:styleId="evidence1" w:customStyle="1">
    <w:name w:val="evidence1"/>
    <w:basedOn w:val="Normal"/>
    <w:qFormat/>
    <w:rsid w:val="001050ee"/>
    <w:pPr>
      <w:spacing w:lineRule="auto" w:line="360"/>
      <w:ind w:hanging="283" w:left="1134"/>
      <w:jc w:val="both"/>
    </w:pPr>
    <w:rPr>
      <w:rFonts w:ascii="Arial" w:hAnsi="Arial" w:cs="Arial"/>
      <w:sz w:val="20"/>
      <w:lang w:eastAsia="en-GB"/>
    </w:rPr>
  </w:style>
  <w:style w:type="paragraph" w:styleId="DocumentMap">
    <w:name w:val="Document Map"/>
    <w:basedOn w:val="Normal"/>
    <w:semiHidden/>
    <w:qFormat/>
    <w:rsid w:val="005478e4"/>
    <w:pPr>
      <w:shd w:val="clear" w:color="auto" w:fill="000080"/>
    </w:pPr>
    <w:rPr>
      <w:rFonts w:ascii="Tahoma" w:hAnsi="Tahoma" w:cs="Tahoma"/>
      <w:sz w:val="20"/>
      <w:lang w:eastAsia="en-GB"/>
    </w:rPr>
  </w:style>
  <w:style w:type="paragraph" w:styleId="Style21" w:customStyle="1">
    <w:name w:val="Style2"/>
    <w:basedOn w:val="Normal"/>
    <w:next w:val="Normal"/>
    <w:autoRedefine/>
    <w:qFormat/>
    <w:rsid w:val="005478e4"/>
    <w:pPr>
      <w:widowControl w:val="false"/>
      <w:shd w:val="clear" w:color="auto" w:fill="FFFFFF"/>
      <w:tabs>
        <w:tab w:val="clear" w:pos="720"/>
        <w:tab w:val="left" w:pos="360" w:leader="none"/>
        <w:tab w:val="left" w:pos="1620" w:leader="none"/>
      </w:tabs>
      <w:spacing w:before="173" w:after="0"/>
      <w:ind w:hanging="352" w:left="1616" w:right="6"/>
      <w:jc w:val="both"/>
    </w:pPr>
    <w:rPr>
      <w:color w:val="000000"/>
      <w:sz w:val="22"/>
      <w:szCs w:val="22"/>
      <w:lang w:val="en-US"/>
    </w:rPr>
  </w:style>
  <w:style w:type="paragraph" w:styleId="Style11ptBlackJustifiedRight001cmBefore865ptL" w:customStyle="1">
    <w:name w:val="Style 11 pt Black Justified Right:  001 cm Before:  865 pt L..."/>
    <w:basedOn w:val="Normal"/>
    <w:next w:val="Normal"/>
    <w:autoRedefine/>
    <w:qFormat/>
    <w:rsid w:val="005478e4"/>
    <w:pPr>
      <w:numPr>
        <w:ilvl w:val="0"/>
        <w:numId w:val="3"/>
      </w:numPr>
      <w:shd w:val="clear" w:color="auto" w:fill="FFFFFF"/>
      <w:tabs>
        <w:tab w:val="clear" w:pos="720"/>
        <w:tab w:val="right" w:pos="1701" w:leader="none"/>
      </w:tabs>
      <w:spacing w:lineRule="exact" w:line="212" w:before="60" w:after="120"/>
      <w:ind w:right="6"/>
      <w:jc w:val="both"/>
    </w:pPr>
    <w:rPr>
      <w:color w:val="000000"/>
      <w:sz w:val="22"/>
      <w:lang w:eastAsia="en-GB"/>
    </w:rPr>
  </w:style>
  <w:style w:type="paragraph" w:styleId="StyleHeading3" w:customStyle="1">
    <w:name w:val="Style Heading 3"/>
    <w:basedOn w:val="Heading3"/>
    <w:next w:val="Normal"/>
    <w:link w:val="StyleHeading3Char"/>
    <w:autoRedefine/>
    <w:qFormat/>
    <w:rsid w:val="005478e4"/>
    <w:pPr>
      <w:keepNext w:val="false"/>
      <w:keepLines/>
      <w:tabs>
        <w:tab w:val="clear" w:pos="720"/>
        <w:tab w:val="left" w:pos="567" w:leader="none"/>
        <w:tab w:val="left" w:pos="1134" w:leader="none"/>
      </w:tabs>
      <w:spacing w:before="120" w:after="120"/>
      <w:ind w:hanging="567" w:left="1134"/>
      <w:jc w:val="both"/>
    </w:pPr>
    <w:rPr>
      <w:bCs/>
      <w:sz w:val="22"/>
      <w:szCs w:val="26"/>
      <w:lang w:val="en-US"/>
    </w:rPr>
  </w:style>
  <w:style w:type="paragraph" w:styleId="Normal2" w:customStyle="1">
    <w:name w:val="Normal2"/>
    <w:basedOn w:val="Normal"/>
    <w:next w:val="Normal"/>
    <w:link w:val="Normal2Char"/>
    <w:autoRedefine/>
    <w:qFormat/>
    <w:rsid w:val="005478e4"/>
    <w:pPr>
      <w:shd w:val="clear" w:color="auto" w:fill="FFFFFF"/>
      <w:spacing w:before="120" w:after="240"/>
      <w:ind w:left="567" w:right="6"/>
      <w:jc w:val="both"/>
    </w:pPr>
    <w:rPr>
      <w:color w:val="000000"/>
      <w:sz w:val="22"/>
      <w:szCs w:val="22"/>
      <w:lang w:val="en-US"/>
    </w:rPr>
  </w:style>
  <w:style w:type="paragraph" w:styleId="Normal3" w:customStyle="1">
    <w:name w:val="Normal3"/>
    <w:basedOn w:val="Normal2"/>
    <w:autoRedefine/>
    <w:qFormat/>
    <w:rsid w:val="005478e4"/>
    <w:pPr>
      <w:ind w:left="1134"/>
    </w:pPr>
    <w:rPr/>
  </w:style>
  <w:style w:type="paragraph" w:styleId="Style31" w:customStyle="1">
    <w:name w:val="Style3"/>
    <w:basedOn w:val="Normal2"/>
    <w:autoRedefine/>
    <w:qFormat/>
    <w:rsid w:val="005478e4"/>
    <w:pPr>
      <w:ind w:left="1134" w:right="0"/>
    </w:pPr>
    <w:rPr/>
  </w:style>
  <w:style w:type="paragraph" w:styleId="Normal3tiret" w:customStyle="1">
    <w:name w:val="Normal3tiret"/>
    <w:basedOn w:val="Normal3"/>
    <w:autoRedefine/>
    <w:qFormat/>
    <w:rsid w:val="005478e4"/>
    <w:pPr>
      <w:tabs>
        <w:tab w:val="clear" w:pos="720"/>
        <w:tab w:val="left" w:pos="1304" w:leader="none"/>
      </w:tabs>
      <w:ind w:hanging="170" w:left="1304" w:right="0"/>
    </w:pPr>
    <w:rPr/>
  </w:style>
  <w:style w:type="paragraph" w:styleId="Normal12" w:customStyle="1">
    <w:name w:val="Normal 12"/>
    <w:basedOn w:val="Normal"/>
    <w:qFormat/>
    <w:rsid w:val="00f9163a"/>
    <w:pPr/>
    <w:rPr>
      <w:lang w:eastAsia="en-GB"/>
    </w:rPr>
  </w:style>
  <w:style w:type="paragraph" w:styleId="Text2" w:customStyle="1">
    <w:name w:val="Text 2"/>
    <w:basedOn w:val="Normal"/>
    <w:qFormat/>
    <w:rsid w:val="00f9163a"/>
    <w:pPr>
      <w:tabs>
        <w:tab w:val="clear" w:pos="720"/>
        <w:tab w:val="left" w:pos="2160" w:leader="none"/>
      </w:tabs>
      <w:spacing w:before="0" w:after="240"/>
      <w:ind w:left="1077"/>
      <w:jc w:val="both"/>
    </w:pPr>
    <w:rPr/>
  </w:style>
  <w:style w:type="paragraph" w:styleId="Heading3Verdana" w:customStyle="1">
    <w:name w:val="Heading 3 + Verdana"/>
    <w:basedOn w:val="Heading2"/>
    <w:qFormat/>
    <w:rsid w:val="00641155"/>
    <w:pPr>
      <w:spacing w:before="0" w:after="240"/>
      <w:ind w:hanging="0" w:left="284"/>
      <w:jc w:val="center"/>
    </w:pPr>
    <w:rPr>
      <w:rFonts w:ascii="Verdana" w:hAnsi="Verdana"/>
      <w:sz w:val="22"/>
      <w:szCs w:val="22"/>
      <w:u w:val="single"/>
      <w:lang w:val="fr-BE"/>
    </w:rPr>
  </w:style>
  <w:style w:type="paragraph" w:styleId="Annexetitle" w:customStyle="1">
    <w:name w:val="Annexe_title"/>
    <w:basedOn w:val="Heading1"/>
    <w:next w:val="Normal"/>
    <w:autoRedefine/>
    <w:qFormat/>
    <w:rsid w:val="007f037f"/>
    <w:pPr>
      <w:keepNext w:val="false"/>
      <w:pageBreakBefore/>
      <w:tabs>
        <w:tab w:val="clear" w:pos="720"/>
        <w:tab w:val="left" w:pos="1701" w:leader="none"/>
        <w:tab w:val="left" w:pos="2552" w:leader="none"/>
      </w:tabs>
      <w:spacing w:before="240" w:after="240"/>
      <w:outlineLvl w:val="9"/>
    </w:pPr>
    <w:rPr>
      <w:caps/>
      <w:color w:val="auto"/>
      <w:lang w:eastAsia="en-GB"/>
    </w:rPr>
  </w:style>
  <w:style w:type="paragraph" w:styleId="titlefront" w:customStyle="1">
    <w:name w:val="title_front"/>
    <w:basedOn w:val="Normal"/>
    <w:qFormat/>
    <w:rsid w:val="00f85039"/>
    <w:pPr>
      <w:spacing w:before="240" w:after="0"/>
      <w:ind w:left="1701"/>
      <w:jc w:val="right"/>
    </w:pPr>
    <w:rPr>
      <w:rFonts w:ascii="Optima" w:hAnsi="Optima"/>
      <w:b/>
      <w:sz w:val="28"/>
      <w:lang w:eastAsia="en-GB"/>
    </w:rPr>
  </w:style>
  <w:style w:type="paragraph" w:styleId="BlockText">
    <w:name w:val="Block Text"/>
    <w:basedOn w:val="Normal"/>
    <w:qFormat/>
    <w:rsid w:val="00f85039"/>
    <w:pPr>
      <w:keepNext w:val="true"/>
      <w:ind w:left="113" w:right="113"/>
      <w:jc w:val="both"/>
    </w:pPr>
    <w:rPr>
      <w:rFonts w:ascii="Arial" w:hAnsi="Arial" w:cs="Arial"/>
      <w:sz w:val="20"/>
      <w:lang w:eastAsia="en-GB"/>
    </w:rPr>
  </w:style>
  <w:style w:type="paragraph" w:styleId="Char2" w:customStyle="1">
    <w:name w:val="Char2"/>
    <w:basedOn w:val="Normal"/>
    <w:qFormat/>
    <w:rsid w:val="00b7615b"/>
    <w:pPr>
      <w:spacing w:lineRule="exact" w:line="240" w:before="0" w:after="160"/>
    </w:pPr>
    <w:rPr>
      <w:rFonts w:ascii="Tahoma" w:hAnsi="Tahoma"/>
      <w:sz w:val="20"/>
      <w:lang w:val="en-US"/>
    </w:rPr>
  </w:style>
  <w:style w:type="paragraph" w:styleId="classification" w:customStyle="1">
    <w:name w:val="classification"/>
    <w:basedOn w:val="Normal"/>
    <w:qFormat/>
    <w:rsid w:val="00582940"/>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jc w:val="center"/>
    </w:pPr>
    <w:rPr>
      <w:rFonts w:ascii="Arial" w:hAnsi="Arial"/>
      <w:caps/>
      <w:sz w:val="22"/>
      <w:lang w:eastAsia="en-GB"/>
    </w:rPr>
  </w:style>
  <w:style w:type="paragraph" w:styleId="CommentText">
    <w:name w:val="annotation text"/>
    <w:basedOn w:val="Normal"/>
    <w:link w:val="CommentTextChar"/>
    <w:uiPriority w:val="99"/>
    <w:rsid w:val="004842dd"/>
    <w:pPr/>
    <w:rPr>
      <w:sz w:val="20"/>
    </w:rPr>
  </w:style>
  <w:style w:type="paragraph" w:styleId="annotationsubject">
    <w:name w:val="annotation subject"/>
    <w:basedOn w:val="CommentText"/>
    <w:next w:val="CommentText"/>
    <w:semiHidden/>
    <w:qFormat/>
    <w:rsid w:val="004842dd"/>
    <w:pPr/>
    <w:rPr>
      <w:b/>
      <w:bCs/>
    </w:rPr>
  </w:style>
  <w:style w:type="paragraph" w:styleId="ListNumber">
    <w:name w:val="List Number"/>
    <w:basedOn w:val="Normal"/>
    <w:rsid w:val="0028152c"/>
    <w:pPr>
      <w:numPr>
        <w:ilvl w:val="0"/>
        <w:numId w:val="14"/>
      </w:numPr>
      <w:spacing w:before="0" w:after="240"/>
      <w:jc w:val="both"/>
    </w:pPr>
    <w:rPr/>
  </w:style>
  <w:style w:type="paragraph" w:styleId="ListNumberLevel2" w:customStyle="1">
    <w:name w:val="List Number (Level 2)"/>
    <w:basedOn w:val="Normal"/>
    <w:qFormat/>
    <w:rsid w:val="0028152c"/>
    <w:pPr>
      <w:numPr>
        <w:ilvl w:val="1"/>
        <w:numId w:val="14"/>
      </w:numPr>
      <w:spacing w:before="0" w:after="240"/>
      <w:jc w:val="both"/>
    </w:pPr>
    <w:rPr/>
  </w:style>
  <w:style w:type="paragraph" w:styleId="ListNumberLevel3" w:customStyle="1">
    <w:name w:val="List Number (Level 3)"/>
    <w:basedOn w:val="Normal"/>
    <w:qFormat/>
    <w:rsid w:val="0028152c"/>
    <w:pPr>
      <w:numPr>
        <w:ilvl w:val="2"/>
        <w:numId w:val="14"/>
      </w:numPr>
      <w:spacing w:before="0" w:after="240"/>
      <w:jc w:val="both"/>
    </w:pPr>
    <w:rPr/>
  </w:style>
  <w:style w:type="paragraph" w:styleId="ListNumberLevel4" w:customStyle="1">
    <w:name w:val="List Number (Level 4)"/>
    <w:basedOn w:val="Normal"/>
    <w:qFormat/>
    <w:rsid w:val="0028152c"/>
    <w:pPr>
      <w:numPr>
        <w:ilvl w:val="3"/>
        <w:numId w:val="14"/>
      </w:numPr>
      <w:spacing w:before="0" w:after="240"/>
      <w:jc w:val="both"/>
    </w:pPr>
    <w:rPr/>
  </w:style>
  <w:style w:type="paragraph" w:styleId="ListParagraph">
    <w:name w:val="List Paragraph"/>
    <w:basedOn w:val="Normal"/>
    <w:uiPriority w:val="34"/>
    <w:qFormat/>
    <w:rsid w:val="00ec36a1"/>
    <w:pPr>
      <w:ind w:left="720"/>
    </w:pPr>
    <w:rPr>
      <w:rFonts w:ascii="Calibri" w:hAnsi="Calibri"/>
      <w:sz w:val="22"/>
      <w:szCs w:val="22"/>
      <w:lang w:val="fr-BE"/>
    </w:rPr>
  </w:style>
  <w:style w:type="paragraph" w:styleId="Revision">
    <w:name w:val="Revision"/>
    <w:uiPriority w:val="99"/>
    <w:semiHidden/>
    <w:qFormat/>
    <w:rsid w:val="00f02160"/>
    <w:pPr>
      <w:widowControl/>
      <w:bidi w:val="0"/>
      <w:spacing w:before="0" w:after="0"/>
      <w:jc w:val="left"/>
    </w:pPr>
    <w:rPr>
      <w:rFonts w:ascii="Times New Roman" w:hAnsi="Times New Roman" w:eastAsia="Times New Roman" w:cs="Times New Roman"/>
      <w:color w:val="auto"/>
      <w:kern w:val="0"/>
      <w:sz w:val="24"/>
      <w:szCs w:val="20"/>
      <w:lang w:eastAsia="en-US" w:val="en-GB" w:bidi="ar-SA"/>
    </w:rPr>
  </w:style>
  <w:style w:type="paragraph" w:styleId="Contact" w:customStyle="1">
    <w:name w:val="Contact"/>
    <w:basedOn w:val="Normal"/>
    <w:next w:val="Normal"/>
    <w:qFormat/>
    <w:rsid w:val="0028152c"/>
    <w:pPr>
      <w:spacing w:before="0" w:after="480"/>
      <w:ind w:hanging="567" w:left="567"/>
    </w:pPr>
    <w:rPr/>
  </w:style>
  <w:style w:type="paragraph" w:styleId="ListBullet">
    <w:name w:val="List Bullet"/>
    <w:basedOn w:val="Normal"/>
    <w:rsid w:val="0028152c"/>
    <w:pPr>
      <w:numPr>
        <w:ilvl w:val="0"/>
        <w:numId w:val="4"/>
      </w:numPr>
      <w:spacing w:before="0" w:after="240"/>
      <w:jc w:val="both"/>
    </w:pPr>
    <w:rPr/>
  </w:style>
  <w:style w:type="paragraph" w:styleId="ListBullet1" w:customStyle="1">
    <w:name w:val="List Bullet 1"/>
    <w:basedOn w:val="Text1"/>
    <w:qFormat/>
    <w:rsid w:val="0028152c"/>
    <w:pPr>
      <w:numPr>
        <w:ilvl w:val="0"/>
        <w:numId w:val="5"/>
      </w:numPr>
      <w:spacing w:before="0" w:after="240"/>
    </w:pPr>
    <w:rPr/>
  </w:style>
  <w:style w:type="paragraph" w:styleId="ListBullet2">
    <w:name w:val="List Bullet 2"/>
    <w:basedOn w:val="Text2"/>
    <w:rsid w:val="0028152c"/>
    <w:pPr>
      <w:numPr>
        <w:ilvl w:val="0"/>
        <w:numId w:val="6"/>
      </w:numPr>
      <w:tabs>
        <w:tab w:val="clear" w:pos="2160"/>
      </w:tabs>
    </w:pPr>
    <w:rPr/>
  </w:style>
  <w:style w:type="paragraph" w:styleId="ListBullet3">
    <w:name w:val="List Bullet 3"/>
    <w:basedOn w:val="Normal"/>
    <w:rsid w:val="0028152c"/>
    <w:pPr>
      <w:numPr>
        <w:ilvl w:val="0"/>
        <w:numId w:val="7"/>
      </w:numPr>
      <w:spacing w:before="0" w:after="240"/>
      <w:jc w:val="both"/>
    </w:pPr>
    <w:rPr/>
  </w:style>
  <w:style w:type="paragraph" w:styleId="ListBullet4">
    <w:name w:val="List Bullet 4"/>
    <w:basedOn w:val="Normal"/>
    <w:rsid w:val="0028152c"/>
    <w:pPr>
      <w:numPr>
        <w:ilvl w:val="0"/>
        <w:numId w:val="8"/>
      </w:numPr>
      <w:spacing w:before="0" w:after="240"/>
      <w:jc w:val="both"/>
    </w:pPr>
    <w:rPr/>
  </w:style>
  <w:style w:type="paragraph" w:styleId="ListDash" w:customStyle="1">
    <w:name w:val="List Dash"/>
    <w:basedOn w:val="Normal"/>
    <w:qFormat/>
    <w:rsid w:val="0028152c"/>
    <w:pPr>
      <w:numPr>
        <w:ilvl w:val="0"/>
        <w:numId w:val="9"/>
      </w:numPr>
      <w:spacing w:before="0" w:after="240"/>
      <w:jc w:val="both"/>
    </w:pPr>
    <w:rPr/>
  </w:style>
  <w:style w:type="paragraph" w:styleId="ListDash1" w:customStyle="1">
    <w:name w:val="List Dash 1"/>
    <w:basedOn w:val="Text1"/>
    <w:qFormat/>
    <w:rsid w:val="0028152c"/>
    <w:pPr>
      <w:numPr>
        <w:ilvl w:val="0"/>
        <w:numId w:val="10"/>
      </w:numPr>
      <w:spacing w:before="0" w:after="240"/>
    </w:pPr>
    <w:rPr/>
  </w:style>
  <w:style w:type="paragraph" w:styleId="ListDash2" w:customStyle="1">
    <w:name w:val="List Dash 2"/>
    <w:basedOn w:val="Text2"/>
    <w:qFormat/>
    <w:rsid w:val="0028152c"/>
    <w:pPr>
      <w:numPr>
        <w:ilvl w:val="0"/>
        <w:numId w:val="11"/>
      </w:numPr>
      <w:tabs>
        <w:tab w:val="clear" w:pos="2160"/>
      </w:tabs>
    </w:pPr>
    <w:rPr/>
  </w:style>
  <w:style w:type="paragraph" w:styleId="ListDash3" w:customStyle="1">
    <w:name w:val="List Dash 3"/>
    <w:basedOn w:val="Normal"/>
    <w:qFormat/>
    <w:rsid w:val="0028152c"/>
    <w:pPr>
      <w:numPr>
        <w:ilvl w:val="0"/>
        <w:numId w:val="12"/>
      </w:numPr>
      <w:spacing w:before="0" w:after="240"/>
      <w:jc w:val="both"/>
    </w:pPr>
    <w:rPr/>
  </w:style>
  <w:style w:type="paragraph" w:styleId="ListDash4" w:customStyle="1">
    <w:name w:val="List Dash 4"/>
    <w:basedOn w:val="Normal"/>
    <w:qFormat/>
    <w:rsid w:val="0028152c"/>
    <w:pPr>
      <w:numPr>
        <w:ilvl w:val="0"/>
        <w:numId w:val="13"/>
      </w:numPr>
      <w:spacing w:before="0" w:after="240"/>
      <w:jc w:val="both"/>
    </w:pPr>
    <w:rPr/>
  </w:style>
  <w:style w:type="paragraph" w:styleId="ListNumber1" w:customStyle="1">
    <w:name w:val="List Number 1"/>
    <w:basedOn w:val="Text1"/>
    <w:qFormat/>
    <w:rsid w:val="0028152c"/>
    <w:pPr>
      <w:numPr>
        <w:ilvl w:val="0"/>
        <w:numId w:val="15"/>
      </w:numPr>
      <w:spacing w:before="0" w:after="240"/>
    </w:pPr>
    <w:rPr/>
  </w:style>
  <w:style w:type="paragraph" w:styleId="ListNumber2">
    <w:name w:val="List Number 2"/>
    <w:basedOn w:val="Text2"/>
    <w:rsid w:val="0028152c"/>
    <w:pPr>
      <w:numPr>
        <w:ilvl w:val="0"/>
        <w:numId w:val="16"/>
      </w:numPr>
      <w:tabs>
        <w:tab w:val="clear" w:pos="2160"/>
      </w:tabs>
    </w:pPr>
    <w:rPr/>
  </w:style>
  <w:style w:type="paragraph" w:styleId="ListNumber3">
    <w:name w:val="List Number 3"/>
    <w:basedOn w:val="Normal"/>
    <w:rsid w:val="0028152c"/>
    <w:pPr>
      <w:numPr>
        <w:ilvl w:val="0"/>
        <w:numId w:val="17"/>
      </w:numPr>
      <w:spacing w:before="0" w:after="240"/>
      <w:jc w:val="both"/>
    </w:pPr>
    <w:rPr/>
  </w:style>
  <w:style w:type="paragraph" w:styleId="ListNumber4">
    <w:name w:val="List Number 4"/>
    <w:basedOn w:val="Normal"/>
    <w:rsid w:val="0028152c"/>
    <w:pPr>
      <w:numPr>
        <w:ilvl w:val="0"/>
        <w:numId w:val="18"/>
      </w:numPr>
      <w:spacing w:before="0" w:after="240"/>
      <w:jc w:val="both"/>
    </w:pPr>
    <w:rPr/>
  </w:style>
  <w:style w:type="paragraph" w:styleId="ListNumber1Level2" w:customStyle="1">
    <w:name w:val="List Number 1 (Level 2)"/>
    <w:basedOn w:val="Text1"/>
    <w:qFormat/>
    <w:rsid w:val="0028152c"/>
    <w:pPr>
      <w:numPr>
        <w:ilvl w:val="1"/>
        <w:numId w:val="15"/>
      </w:numPr>
      <w:spacing w:before="0" w:after="240"/>
    </w:pPr>
    <w:rPr/>
  </w:style>
  <w:style w:type="paragraph" w:styleId="ListNumber2Level2" w:customStyle="1">
    <w:name w:val="List Number 2 (Level 2)"/>
    <w:basedOn w:val="Text2"/>
    <w:qFormat/>
    <w:rsid w:val="0028152c"/>
    <w:pPr>
      <w:numPr>
        <w:ilvl w:val="1"/>
        <w:numId w:val="16"/>
      </w:numPr>
      <w:tabs>
        <w:tab w:val="clear" w:pos="2160"/>
      </w:tabs>
    </w:pPr>
    <w:rPr/>
  </w:style>
  <w:style w:type="paragraph" w:styleId="ListNumber3Level2" w:customStyle="1">
    <w:name w:val="List Number 3 (Level 2)"/>
    <w:basedOn w:val="Normal"/>
    <w:qFormat/>
    <w:rsid w:val="0028152c"/>
    <w:pPr>
      <w:numPr>
        <w:ilvl w:val="1"/>
        <w:numId w:val="17"/>
      </w:numPr>
      <w:spacing w:before="0" w:after="240"/>
      <w:jc w:val="both"/>
    </w:pPr>
    <w:rPr/>
  </w:style>
  <w:style w:type="paragraph" w:styleId="ListNumber4Level2" w:customStyle="1">
    <w:name w:val="List Number 4 (Level 2)"/>
    <w:basedOn w:val="Normal"/>
    <w:qFormat/>
    <w:rsid w:val="0028152c"/>
    <w:pPr>
      <w:numPr>
        <w:ilvl w:val="1"/>
        <w:numId w:val="18"/>
      </w:numPr>
      <w:spacing w:before="0" w:after="240"/>
      <w:jc w:val="both"/>
    </w:pPr>
    <w:rPr/>
  </w:style>
  <w:style w:type="paragraph" w:styleId="ListNumber1Level3" w:customStyle="1">
    <w:name w:val="List Number 1 (Level 3)"/>
    <w:basedOn w:val="Text1"/>
    <w:qFormat/>
    <w:rsid w:val="0028152c"/>
    <w:pPr>
      <w:numPr>
        <w:ilvl w:val="2"/>
        <w:numId w:val="15"/>
      </w:numPr>
      <w:spacing w:before="0" w:after="240"/>
    </w:pPr>
    <w:rPr/>
  </w:style>
  <w:style w:type="paragraph" w:styleId="ListNumber2Level3" w:customStyle="1">
    <w:name w:val="List Number 2 (Level 3)"/>
    <w:basedOn w:val="Text2"/>
    <w:qFormat/>
    <w:rsid w:val="0028152c"/>
    <w:pPr>
      <w:numPr>
        <w:ilvl w:val="2"/>
        <w:numId w:val="16"/>
      </w:numPr>
      <w:tabs>
        <w:tab w:val="clear" w:pos="2160"/>
      </w:tabs>
    </w:pPr>
    <w:rPr/>
  </w:style>
  <w:style w:type="paragraph" w:styleId="ListNumber3Level3" w:customStyle="1">
    <w:name w:val="List Number 3 (Level 3)"/>
    <w:basedOn w:val="Normal"/>
    <w:qFormat/>
    <w:rsid w:val="0028152c"/>
    <w:pPr>
      <w:numPr>
        <w:ilvl w:val="2"/>
        <w:numId w:val="17"/>
      </w:numPr>
      <w:spacing w:before="0" w:after="240"/>
      <w:jc w:val="both"/>
    </w:pPr>
    <w:rPr/>
  </w:style>
  <w:style w:type="paragraph" w:styleId="ListNumber4Level3" w:customStyle="1">
    <w:name w:val="List Number 4 (Level 3)"/>
    <w:basedOn w:val="Normal"/>
    <w:qFormat/>
    <w:rsid w:val="0028152c"/>
    <w:pPr>
      <w:numPr>
        <w:ilvl w:val="2"/>
        <w:numId w:val="18"/>
      </w:numPr>
      <w:spacing w:before="0" w:after="240"/>
      <w:jc w:val="both"/>
    </w:pPr>
    <w:rPr/>
  </w:style>
  <w:style w:type="paragraph" w:styleId="ListNumber1Level4" w:customStyle="1">
    <w:name w:val="List Number 1 (Level 4)"/>
    <w:basedOn w:val="Text1"/>
    <w:qFormat/>
    <w:rsid w:val="0028152c"/>
    <w:pPr>
      <w:numPr>
        <w:ilvl w:val="3"/>
        <w:numId w:val="15"/>
      </w:numPr>
      <w:spacing w:before="0" w:after="240"/>
    </w:pPr>
    <w:rPr/>
  </w:style>
  <w:style w:type="paragraph" w:styleId="ListNumber2Level4" w:customStyle="1">
    <w:name w:val="List Number 2 (Level 4)"/>
    <w:basedOn w:val="Text2"/>
    <w:qFormat/>
    <w:rsid w:val="0028152c"/>
    <w:pPr>
      <w:numPr>
        <w:ilvl w:val="3"/>
        <w:numId w:val="16"/>
      </w:numPr>
      <w:tabs>
        <w:tab w:val="clear" w:pos="2160"/>
      </w:tabs>
    </w:pPr>
    <w:rPr/>
  </w:style>
  <w:style w:type="paragraph" w:styleId="ListNumber3Level4" w:customStyle="1">
    <w:name w:val="List Number 3 (Level 4)"/>
    <w:basedOn w:val="Normal"/>
    <w:qFormat/>
    <w:rsid w:val="0028152c"/>
    <w:pPr>
      <w:numPr>
        <w:ilvl w:val="3"/>
        <w:numId w:val="17"/>
      </w:numPr>
      <w:spacing w:before="0" w:after="240"/>
      <w:jc w:val="both"/>
    </w:pPr>
    <w:rPr/>
  </w:style>
  <w:style w:type="paragraph" w:styleId="ListNumber4Level4" w:customStyle="1">
    <w:name w:val="List Number 4 (Level 4)"/>
    <w:basedOn w:val="Normal"/>
    <w:qFormat/>
    <w:rsid w:val="0028152c"/>
    <w:pPr>
      <w:numPr>
        <w:ilvl w:val="3"/>
        <w:numId w:val="18"/>
      </w:numPr>
      <w:spacing w:before="0" w:after="240"/>
      <w:jc w:val="both"/>
    </w:pPr>
    <w:rPr/>
  </w:style>
  <w:style w:type="paragraph" w:styleId="IndexHeading">
    <w:name w:val="index heading"/>
    <w:basedOn w:val="Heading"/>
    <w:pPr/>
    <w:rPr/>
  </w:style>
  <w:style w:type="paragraph" w:styleId="TOCHeading">
    <w:name w:val="TOC Heading"/>
    <w:basedOn w:val="Normal"/>
    <w:next w:val="Normal"/>
    <w:qFormat/>
    <w:rsid w:val="0028152c"/>
    <w:pPr>
      <w:keepNext w:val="true"/>
      <w:spacing w:before="240" w:after="240"/>
      <w:jc w:val="center"/>
    </w:pPr>
    <w:rPr>
      <w:b/>
    </w:rPr>
  </w:style>
  <w:style w:type="paragraph" w:styleId="Article" w:customStyle="1">
    <w:name w:val="Article"/>
    <w:basedOn w:val="Normal"/>
    <w:link w:val="ArticleChar"/>
    <w:autoRedefine/>
    <w:qFormat/>
    <w:rsid w:val="009d3ddd"/>
    <w:pPr>
      <w:keepNext w:val="true"/>
      <w:numPr>
        <w:ilvl w:val="0"/>
        <w:numId w:val="19"/>
      </w:numPr>
      <w:tabs>
        <w:tab w:val="clear" w:pos="720"/>
        <w:tab w:val="left" w:pos="1560" w:leader="none"/>
      </w:tabs>
      <w:spacing w:lineRule="auto" w:line="276" w:before="360" w:after="120"/>
    </w:pPr>
    <w:rPr>
      <w:rFonts w:eastAsia="Calibri"/>
      <w:b/>
      <w:szCs w:val="22"/>
    </w:rPr>
  </w:style>
  <w:style w:type="paragraph" w:styleId="pointarticle" w:customStyle="1">
    <w:name w:val="point article"/>
    <w:basedOn w:val="Heading2"/>
    <w:link w:val="pointarticleChar"/>
    <w:autoRedefine/>
    <w:qFormat/>
    <w:rsid w:val="003474e2"/>
    <w:pPr>
      <w:keepNext w:val="false"/>
      <w:spacing w:lineRule="auto" w:line="276" w:before="240" w:after="60"/>
      <w:ind w:hanging="709"/>
    </w:pPr>
    <w:rPr>
      <w:rFonts w:ascii="Times New Roman" w:hAnsi="Times New Roman"/>
      <w:b w:val="false"/>
      <w:bCs/>
      <w:iCs/>
      <w:sz w:val="22"/>
      <w:szCs w:val="28"/>
      <w:lang w:val="en-GB"/>
    </w:rPr>
  </w:style>
  <w:style w:type="paragraph" w:styleId="paragraph" w:customStyle="1">
    <w:name w:val="paragraph"/>
    <w:basedOn w:val="Normal"/>
    <w:qFormat/>
    <w:rsid w:val="00484e3a"/>
    <w:pPr>
      <w:spacing w:beforeAutospacing="1" w:afterAutospacing="1"/>
    </w:pPr>
    <w:rPr>
      <w:szCs w:val="24"/>
      <w:lang w:val="fr-BE" w:eastAsia="fr-BE"/>
    </w:rPr>
  </w:style>
  <w:style w:type="paragraph" w:styleId="FrameContents">
    <w:name w:val="Frame Contents"/>
    <w:basedOn w:val="Normal"/>
    <w:qFormat/>
    <w:pPr/>
    <w:rPr/>
  </w:style>
  <w:style w:type="numbering" w:styleId="NoList" w:default="1">
    <w:name w:val="No List"/>
    <w:uiPriority w:val="99"/>
    <w:semiHidden/>
    <w:unhideWhenUsed/>
    <w:qFormat/>
  </w:style>
  <w:style w:type="numbering" w:styleId="OutlineList2">
    <w:name w:val="Outline List 2"/>
    <w:qFormat/>
    <w:rsid w:val="005478e4"/>
  </w:style>
  <w:style w:type="numbering" w:styleId="Style11" w:customStyle="1">
    <w:name w:val="Style1"/>
    <w:qFormat/>
    <w:rsid w:val="005478e4"/>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64115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drenalinskipark@yahoo.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53DBF-8BA4-4E74-8CB9-FB247ABFB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223</TotalTime>
  <Application>LibreOffice/25.2.2.2$Windows_X86_64 LibreOffice_project/7370d4be9e3cf6031a51beef54ff3bda878e3fac</Application>
  <AppVersion>15.0000</AppVersion>
  <Pages>8</Pages>
  <Words>3187</Words>
  <Characters>17260</Characters>
  <CharactersWithSpaces>20279</CharactersWithSpaces>
  <Paragraphs>213</Paragraphs>
  <Company>European Commission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2025-04-04T12:57:00Z</dcterms:created>
  <dc:creator>VISSER Maarten</dc:creator>
  <dc:description/>
  <dc:language>en-US</dc:language>
  <cp:lastModifiedBy/>
  <cp:lastPrinted>2014-02-12T13:59:00Z</cp:lastPrinted>
  <dcterms:modified xsi:type="dcterms:W3CDTF">2025-06-02T14:54:52Z</dcterms:modified>
  <cp:revision>28</cp:revision>
  <dc:subject/>
  <dc:title>&lt;LETTRE D’INVITATION À SOUMISSIONNER&gt;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using">
    <vt:lpwstr>3.0</vt:lpwstr>
  </property>
  <property fmtid="{D5CDD505-2E9C-101B-9397-08002B2CF9AE}" pid="3" name="ELDocType">
    <vt:lpwstr>REP.DOT</vt:lpwstr>
  </property>
  <property fmtid="{D5CDD505-2E9C-101B-9397-08002B2CF9AE}" pid="4" name="Last edited using">
    <vt:lpwstr>EL 4.6 Build 50000</vt:lpwstr>
  </property>
  <property fmtid="{D5CDD505-2E9C-101B-9397-08002B2CF9AE}" pid="5" name="MSIP_Label_6bd9ddd1-4d20-43f6-abfa-fc3c07406f94_ActionId">
    <vt:lpwstr>51e9a7e7-6600-4070-9c9e-634b68d8f6a5</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2023-04-21T12:40:46Z</vt:lpwstr>
  </property>
  <property fmtid="{D5CDD505-2E9C-101B-9397-08002B2CF9AE}" pid="11" name="MSIP_Label_6bd9ddd1-4d20-43f6-abfa-fc3c07406f94_SiteId">
    <vt:lpwstr>b24c8b06-522c-46fe-9080-70926f8dddb1</vt:lpwstr>
  </property>
  <property fmtid="{D5CDD505-2E9C-101B-9397-08002B2CF9AE}" pid="12" name="_AdHocReviewCycleID">
    <vt:i4>-1477240103</vt:i4>
  </property>
  <property fmtid="{D5CDD505-2E9C-101B-9397-08002B2CF9AE}" pid="13" name="_ReviewingToolsShownOnce">
    <vt:lpwstr/>
  </property>
</Properties>
</file>